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EDB" w:rsidRDefault="00AD5EDB" w:rsidP="009E6EF5">
      <w:bookmarkStart w:id="0" w:name="_Toc137026673"/>
      <w:r>
        <w:t>Introducción</w:t>
      </w:r>
      <w:bookmarkEnd w:id="0"/>
    </w:p>
    <w:p w:rsidR="00AD5EDB" w:rsidRDefault="00AD5EDB" w:rsidP="00AD5EDB">
      <w:r>
        <w:t>La teología mística de Guillermo de Saint-Thierry se caracteriza por su fuerte impronta trinitaria. Tanto es así que se ha llegado a decir de él que «ha elaborado una nueva teología trinitaria, desconocida en Occidente»</w:t>
      </w:r>
      <w:r>
        <w:rPr>
          <w:rStyle w:val="Refdenotaalpie"/>
        </w:rPr>
        <w:footnoteReference w:id="1"/>
      </w:r>
      <w:r>
        <w:t>. Pues bien, la tesis que presentamos no quiere ser sino una contribución al estudio de la teología trinitaria de este importante teólogo del siglo XII. Pero, antes de comenzar, conviene hacer algunas observaciones preliminares, tanto sobre nuestro autor como sobre este trabajo.</w:t>
      </w:r>
    </w:p>
    <w:p w:rsidR="00AD5EDB" w:rsidRDefault="00AD5EDB" w:rsidP="00AD5EDB">
      <w:r>
        <w:t>Nacido en torno al año 1075 en la ciudad belga de Lieja, Guillermo</w:t>
      </w:r>
      <w:r w:rsidR="000E2EBD">
        <w:rPr>
          <w:rStyle w:val="Refdenotaalpie"/>
          <w:b/>
          <w:bCs/>
        </w:rPr>
        <w:footnoteReference w:id="2"/>
      </w:r>
      <w:r>
        <w:t xml:space="preserve"> pasa su juventud dedicado al estudio en las escuelas catedralicias, de su ciudad natal primero y, más tarde, de Reims</w:t>
      </w:r>
      <w:r>
        <w:rPr>
          <w:rStyle w:val="Refdenotaalpie"/>
        </w:rPr>
        <w:footnoteReference w:id="3"/>
      </w:r>
      <w:r>
        <w:t>. Allí mismo, en torno al año 1113, ingresa en el monasterio benedictino de Saint</w:t>
      </w:r>
      <w:r>
        <w:noBreakHyphen/>
      </w:r>
      <w:proofErr w:type="spellStart"/>
      <w:r>
        <w:t>Nicaise</w:t>
      </w:r>
      <w:proofErr w:type="spellEnd"/>
      <w:r>
        <w:t xml:space="preserve"> y, durante estos años tiene lugar un acontecimiento que será decisivo en su vida: su encuentro con el joven abad de </w:t>
      </w:r>
      <w:proofErr w:type="spellStart"/>
      <w:r>
        <w:t>Claraval</w:t>
      </w:r>
      <w:proofErr w:type="spellEnd"/>
      <w:r>
        <w:t>, Bernardo, entre 1117-1120. El ideal cisterciense de vuelta a las fuentes de la vida monástica, así como la atrayente personalidad de Bernardo, le impresionan tanto que decide abrazar este modo de vida, aunque de momento aplaza su proyecto</w:t>
      </w:r>
      <w:r>
        <w:rPr>
          <w:rStyle w:val="Refdenotaalpie"/>
        </w:rPr>
        <w:footnoteReference w:id="4"/>
      </w:r>
      <w:r>
        <w:t>.</w:t>
      </w:r>
    </w:p>
    <w:p w:rsidR="00AD5EDB" w:rsidRDefault="00AD5EDB" w:rsidP="00AD5EDB">
      <w:r>
        <w:t>En 1121, una de las pocas fechas ciertas de su biografía, es elegido abad del monasterio de Saint-Thierry (Reims). Comienza entonces para él una etapa de intenso trabajo intelectual y de esfuerzo reformador en el seno de la orden cluniacense</w:t>
      </w:r>
      <w:r>
        <w:rPr>
          <w:rStyle w:val="Refdenotaalpie"/>
        </w:rPr>
        <w:footnoteReference w:id="5"/>
      </w:r>
      <w:r>
        <w:t>. Son años prolíficos en los que escribe gran parte de sus obras (</w:t>
      </w:r>
      <w:r>
        <w:rPr>
          <w:i/>
          <w:iCs/>
        </w:rPr>
        <w:t>De contemplando Deo</w:t>
      </w:r>
      <w:r>
        <w:t xml:space="preserve">, </w:t>
      </w:r>
      <w:r>
        <w:rPr>
          <w:i/>
          <w:iCs/>
        </w:rPr>
        <w:t xml:space="preserve">De natura et </w:t>
      </w:r>
      <w:proofErr w:type="spellStart"/>
      <w:r>
        <w:rPr>
          <w:i/>
          <w:iCs/>
        </w:rPr>
        <w:t>dignitate</w:t>
      </w:r>
      <w:proofErr w:type="spellEnd"/>
      <w:r>
        <w:rPr>
          <w:i/>
          <w:iCs/>
        </w:rPr>
        <w:t xml:space="preserve"> </w:t>
      </w:r>
      <w:proofErr w:type="spellStart"/>
      <w:r>
        <w:rPr>
          <w:i/>
          <w:iCs/>
        </w:rPr>
        <w:t>amoris</w:t>
      </w:r>
      <w:proofErr w:type="spellEnd"/>
      <w:r>
        <w:t xml:space="preserve">, </w:t>
      </w:r>
      <w:r>
        <w:rPr>
          <w:i/>
          <w:iCs/>
        </w:rPr>
        <w:t xml:space="preserve">De </w:t>
      </w:r>
      <w:r>
        <w:rPr>
          <w:i/>
          <w:iCs/>
        </w:rPr>
        <w:lastRenderedPageBreak/>
        <w:t xml:space="preserve">sacramento </w:t>
      </w:r>
      <w:proofErr w:type="spellStart"/>
      <w:r w:rsidRPr="00CE48C3">
        <w:rPr>
          <w:rStyle w:val="Apretadito1"/>
          <w:i/>
        </w:rPr>
        <w:t>altaris</w:t>
      </w:r>
      <w:proofErr w:type="spellEnd"/>
      <w:r w:rsidRPr="00CE48C3">
        <w:rPr>
          <w:rStyle w:val="Apretadito1"/>
          <w:i/>
        </w:rPr>
        <w:t xml:space="preserve">, </w:t>
      </w:r>
      <w:proofErr w:type="spellStart"/>
      <w:r w:rsidRPr="00CE48C3">
        <w:rPr>
          <w:rStyle w:val="Apretadito1"/>
          <w:i/>
        </w:rPr>
        <w:t>Brevis</w:t>
      </w:r>
      <w:proofErr w:type="spellEnd"/>
      <w:r w:rsidRPr="00CE48C3">
        <w:rPr>
          <w:rStyle w:val="Apretadito1"/>
          <w:i/>
        </w:rPr>
        <w:t xml:space="preserve"> </w:t>
      </w:r>
      <w:proofErr w:type="spellStart"/>
      <w:r w:rsidRPr="00CE48C3">
        <w:rPr>
          <w:rStyle w:val="Apretadito1"/>
          <w:i/>
        </w:rPr>
        <w:t>commentatio</w:t>
      </w:r>
      <w:proofErr w:type="spellEnd"/>
      <w:r w:rsidRPr="00CE48C3">
        <w:rPr>
          <w:rStyle w:val="Apretadito1"/>
          <w:i/>
        </w:rPr>
        <w:t xml:space="preserve"> in Cantica, </w:t>
      </w:r>
      <w:proofErr w:type="spellStart"/>
      <w:r w:rsidRPr="00CE48C3">
        <w:rPr>
          <w:rStyle w:val="Apretadito1"/>
          <w:i/>
        </w:rPr>
        <w:t>Meditativae</w:t>
      </w:r>
      <w:proofErr w:type="spellEnd"/>
      <w:r w:rsidRPr="00CE48C3">
        <w:rPr>
          <w:rStyle w:val="Apretadito1"/>
          <w:i/>
        </w:rPr>
        <w:t xml:space="preserve"> </w:t>
      </w:r>
      <w:proofErr w:type="spellStart"/>
      <w:r w:rsidRPr="00CE48C3">
        <w:rPr>
          <w:rStyle w:val="Apretadito1"/>
          <w:i/>
        </w:rPr>
        <w:t>orationes</w:t>
      </w:r>
      <w:proofErr w:type="spellEnd"/>
      <w:r w:rsidRPr="00CE48C3">
        <w:rPr>
          <w:rStyle w:val="Apretadito1"/>
          <w:i/>
        </w:rPr>
        <w:t xml:space="preserve">, </w:t>
      </w:r>
      <w:r w:rsidRPr="00CE48C3">
        <w:rPr>
          <w:rStyle w:val="Apretadito1"/>
        </w:rPr>
        <w:t>etc</w:t>
      </w:r>
      <w:r w:rsidRPr="00CE48C3">
        <w:rPr>
          <w:rStyle w:val="Apretadito1"/>
          <w:i/>
        </w:rPr>
        <w:t>.</w:t>
      </w:r>
      <w:r w:rsidRPr="00CE48C3">
        <w:rPr>
          <w:rStyle w:val="Apretadito1"/>
        </w:rPr>
        <w:t>)</w:t>
      </w:r>
    </w:p>
    <w:p w:rsidR="006A1D91" w:rsidRDefault="006A1D91">
      <w:pPr>
        <w:spacing w:after="200" w:line="276" w:lineRule="auto"/>
        <w:ind w:firstLine="0"/>
        <w:jc w:val="left"/>
      </w:pPr>
      <w:bookmarkStart w:id="1" w:name="_Toc132040007"/>
      <w:bookmarkStart w:id="2" w:name="_Toc132041566"/>
      <w:bookmarkStart w:id="3" w:name="_Toc137026681"/>
    </w:p>
    <w:p w:rsidR="00AD5EDB" w:rsidRDefault="00AD5EDB" w:rsidP="009E6EF5">
      <w:pPr>
        <w:rPr>
          <w:i/>
          <w:iCs/>
        </w:rPr>
      </w:pPr>
      <w:r>
        <w:t xml:space="preserve">«Deus caritas </w:t>
      </w:r>
      <w:proofErr w:type="spellStart"/>
      <w:r>
        <w:t>est</w:t>
      </w:r>
      <w:proofErr w:type="spellEnd"/>
      <w:r>
        <w:t>»</w:t>
      </w:r>
      <w:r>
        <w:br/>
        <w:t xml:space="preserve">La Trinidad en los tratados anteriores a la </w:t>
      </w:r>
      <w:proofErr w:type="spellStart"/>
      <w:r>
        <w:rPr>
          <w:i/>
          <w:iCs/>
        </w:rPr>
        <w:t>Disputatio</w:t>
      </w:r>
      <w:bookmarkEnd w:id="1"/>
      <w:bookmarkEnd w:id="2"/>
      <w:bookmarkEnd w:id="3"/>
      <w:proofErr w:type="spellEnd"/>
    </w:p>
    <w:p w:rsidR="00AD5EDB" w:rsidRDefault="00AD5EDB" w:rsidP="00AD5EDB">
      <w:r>
        <w:t xml:space="preserve">Los casi veinte años transcurridos entre la elevación de Guillermo a la dignidad abacial de Saint-Thierry (1121) y la </w:t>
      </w:r>
      <w:proofErr w:type="spellStart"/>
      <w:r>
        <w:rPr>
          <w:i/>
          <w:iCs/>
        </w:rPr>
        <w:t>Disputatio</w:t>
      </w:r>
      <w:proofErr w:type="spellEnd"/>
      <w:r>
        <w:rPr>
          <w:i/>
          <w:iCs/>
        </w:rPr>
        <w:t xml:space="preserve"> </w:t>
      </w:r>
      <w:proofErr w:type="spellStart"/>
      <w:r>
        <w:rPr>
          <w:i/>
          <w:iCs/>
        </w:rPr>
        <w:t>adversus</w:t>
      </w:r>
      <w:proofErr w:type="spellEnd"/>
      <w:r>
        <w:rPr>
          <w:i/>
          <w:iCs/>
        </w:rPr>
        <w:t xml:space="preserve"> </w:t>
      </w:r>
      <w:proofErr w:type="spellStart"/>
      <w:r>
        <w:rPr>
          <w:i/>
          <w:iCs/>
        </w:rPr>
        <w:t>Petrum</w:t>
      </w:r>
      <w:proofErr w:type="spellEnd"/>
      <w:r>
        <w:rPr>
          <w:i/>
          <w:iCs/>
        </w:rPr>
        <w:t xml:space="preserve"> </w:t>
      </w:r>
      <w:proofErr w:type="spellStart"/>
      <w:r>
        <w:rPr>
          <w:i/>
          <w:iCs/>
        </w:rPr>
        <w:t>Abaelardum</w:t>
      </w:r>
      <w:proofErr w:type="spellEnd"/>
      <w:r>
        <w:t xml:space="preserve"> (1140) son años de intensa actividad literaria de nuestro autor: tratados teológico-espirituales, obras exegéticas, meditaciones… En todas estas obras, aun perteneciendo a géneros literarios tan dispares, encontramos un importante sustrato de reflexión trinitaria, como sucede, por ejemplo, en los tratados que hemos recogido en este primer capítulo de nuestro estudio.</w:t>
      </w:r>
    </w:p>
    <w:p w:rsidR="00AD5EDB" w:rsidRDefault="00AD5EDB" w:rsidP="009E6EF5">
      <w:bookmarkStart w:id="4" w:name="_Toc132040008"/>
      <w:bookmarkStart w:id="5" w:name="_Toc132041567"/>
      <w:bookmarkStart w:id="6" w:name="_Toc137026682"/>
      <w:r>
        <w:t xml:space="preserve">«Deus caritas </w:t>
      </w:r>
      <w:proofErr w:type="spellStart"/>
      <w:r>
        <w:t>est</w:t>
      </w:r>
      <w:proofErr w:type="spellEnd"/>
      <w:r>
        <w:t xml:space="preserve">»: De contemplando Deo y De natura et </w:t>
      </w:r>
      <w:proofErr w:type="spellStart"/>
      <w:r>
        <w:t>dignitatis</w:t>
      </w:r>
      <w:proofErr w:type="spellEnd"/>
      <w:r>
        <w:t xml:space="preserve"> </w:t>
      </w:r>
      <w:proofErr w:type="spellStart"/>
      <w:r>
        <w:t>amoris</w:t>
      </w:r>
      <w:bookmarkEnd w:id="4"/>
      <w:bookmarkEnd w:id="5"/>
      <w:bookmarkEnd w:id="6"/>
      <w:proofErr w:type="spellEnd"/>
    </w:p>
    <w:p w:rsidR="00AD5EDB" w:rsidRDefault="00AD5EDB" w:rsidP="00AD5EDB">
      <w:r>
        <w:t xml:space="preserve">Los dos primeros tratados de Guillermo, escritos durante los primeros años de su </w:t>
      </w:r>
      <w:proofErr w:type="spellStart"/>
      <w:r>
        <w:t>abaciado</w:t>
      </w:r>
      <w:proofErr w:type="spellEnd"/>
      <w:r>
        <w:t xml:space="preserve"> (1121-1124), tienen como temática común el amor. A primera vista el tema induce a pensar más en una reflexión sobre la psicología o la epistemología de la experiencia mística que en el objeto de nuestro estudio, el misterio trinitario. Sin embargo, en el fondo del pensamiento de Guillermo acerca del amor, descubrimos que es precisamente la seriedad de su reflexión trinitaria lo que confiere una gran profundidad a su teología mística.</w:t>
      </w:r>
    </w:p>
    <w:p w:rsidR="00AD5EDB" w:rsidRDefault="00AD5EDB" w:rsidP="00C85927">
      <w:bookmarkStart w:id="7" w:name="_Toc132040009"/>
      <w:bookmarkStart w:id="8" w:name="_Toc132041568"/>
      <w:bookmarkStart w:id="9" w:name="_Toc137026683"/>
      <w:r>
        <w:t>Dios y el amor</w:t>
      </w:r>
      <w:bookmarkEnd w:id="7"/>
      <w:bookmarkEnd w:id="8"/>
      <w:bookmarkEnd w:id="9"/>
    </w:p>
    <w:p w:rsidR="00AD5EDB" w:rsidRDefault="00AD5EDB" w:rsidP="00AD5EDB">
      <w:r>
        <w:t xml:space="preserve">El primer elemento interesante de la reflexión </w:t>
      </w:r>
      <w:proofErr w:type="spellStart"/>
      <w:r>
        <w:t>guillermiana</w:t>
      </w:r>
      <w:proofErr w:type="spellEnd"/>
      <w:r>
        <w:t xml:space="preserve"> sobre el amor es la constatación fundamental de la estrecha relación que une </w:t>
      </w:r>
      <w:r>
        <w:rPr>
          <w:i/>
          <w:iCs/>
        </w:rPr>
        <w:t>amor</w:t>
      </w:r>
      <w:r>
        <w:t xml:space="preserve"> y </w:t>
      </w:r>
      <w:r>
        <w:rPr>
          <w:i/>
          <w:iCs/>
        </w:rPr>
        <w:t>Dios</w:t>
      </w:r>
      <w:r>
        <w:rPr>
          <w:rStyle w:val="Refdenotaalpie"/>
        </w:rPr>
        <w:footnoteReference w:id="6"/>
      </w:r>
      <w:r>
        <w:rPr>
          <w:i/>
          <w:iCs/>
        </w:rPr>
        <w:t>.</w:t>
      </w:r>
      <w:r>
        <w:t xml:space="preserve"> En efecto, para nuestro abad, entre ambos existe una relación de naturaleza. Y esto en un doble sentido.</w:t>
      </w:r>
    </w:p>
    <w:p w:rsidR="00AD5EDB" w:rsidRDefault="00AD5EDB" w:rsidP="00AD5EDB">
      <w:r>
        <w:t xml:space="preserve">Por una parte, en el sentido amplio de la palabra, es decir, en cuanto </w:t>
      </w:r>
      <w:r>
        <w:rPr>
          <w:i/>
          <w:iCs/>
        </w:rPr>
        <w:t>relación de</w:t>
      </w:r>
      <w:r>
        <w:t xml:space="preserve"> </w:t>
      </w:r>
      <w:r>
        <w:rPr>
          <w:i/>
          <w:iCs/>
        </w:rPr>
        <w:t>origen</w:t>
      </w:r>
      <w:r>
        <w:t xml:space="preserve"> que se tiene según el lugar del que se procede o en el que se ha nacido. Así, según Guillermo, Dios es el </w:t>
      </w:r>
      <w:r>
        <w:rPr>
          <w:i/>
          <w:iCs/>
        </w:rPr>
        <w:t xml:space="preserve">locus </w:t>
      </w:r>
      <w:proofErr w:type="spellStart"/>
      <w:r>
        <w:rPr>
          <w:i/>
          <w:iCs/>
        </w:rPr>
        <w:t>nativitatis</w:t>
      </w:r>
      <w:proofErr w:type="spellEnd"/>
      <w:r>
        <w:t xml:space="preserve"> del amor, ya que en Dios el amor no es un elemento extraño sino que nace y se desarrolla con carta de ciudadanía (</w:t>
      </w:r>
      <w:proofErr w:type="spellStart"/>
      <w:r>
        <w:rPr>
          <w:i/>
          <w:iCs/>
        </w:rPr>
        <w:t>ibi</w:t>
      </w:r>
      <w:proofErr w:type="spellEnd"/>
      <w:r>
        <w:rPr>
          <w:i/>
          <w:iCs/>
        </w:rPr>
        <w:t xml:space="preserve"> </w:t>
      </w:r>
      <w:proofErr w:type="spellStart"/>
      <w:r>
        <w:rPr>
          <w:i/>
          <w:iCs/>
        </w:rPr>
        <w:t>civis</w:t>
      </w:r>
      <w:proofErr w:type="spellEnd"/>
      <w:r>
        <w:rPr>
          <w:i/>
          <w:iCs/>
        </w:rPr>
        <w:t xml:space="preserve"> </w:t>
      </w:r>
      <w:proofErr w:type="spellStart"/>
      <w:r>
        <w:rPr>
          <w:i/>
          <w:iCs/>
        </w:rPr>
        <w:t>est</w:t>
      </w:r>
      <w:proofErr w:type="spellEnd"/>
      <w:r>
        <w:rPr>
          <w:i/>
          <w:iCs/>
        </w:rPr>
        <w:t xml:space="preserve">, non </w:t>
      </w:r>
      <w:proofErr w:type="spellStart"/>
      <w:r>
        <w:rPr>
          <w:i/>
          <w:iCs/>
        </w:rPr>
        <w:t>advena</w:t>
      </w:r>
      <w:proofErr w:type="spellEnd"/>
      <w:r>
        <w:t>). De ahí la gran dignidad del amor.</w:t>
      </w:r>
    </w:p>
    <w:p w:rsidR="00AD5EDB" w:rsidRDefault="00AD5EDB" w:rsidP="00AD5EDB">
      <w:r>
        <w:t xml:space="preserve">Por otra parte, entre Dios y el amor existe también una relación de naturaleza en el sentido teológico que Juan apunta en la primera de sus cartas al afirmar que </w:t>
      </w:r>
      <w:r>
        <w:rPr>
          <w:i/>
          <w:iCs/>
        </w:rPr>
        <w:t>Dios es amor</w:t>
      </w:r>
      <w:r>
        <w:t xml:space="preserve"> (1Jn 4,8). Así pues, como el apóstol, nuestro abad contempla entre Dios y el amor mucho más que una mera relación de procedencia, se trata de una </w:t>
      </w:r>
      <w:r>
        <w:rPr>
          <w:i/>
          <w:iCs/>
        </w:rPr>
        <w:t>relación de identidad</w:t>
      </w:r>
      <w:r>
        <w:t xml:space="preserve">. Pero no entendida como si el amor fuera un atributo que califica a Dios, sino como </w:t>
      </w:r>
      <w:r>
        <w:lastRenderedPageBreak/>
        <w:t>la afirmación más radical acerca de su ser, de tal forma que a Dios solo compete o se le debe este nombre de amor. Por eso Guillermo dirá que, cuando hablamos de Dios refiriéndole el amor, no estamos predicando un accidente de aquél, sino afirmando lo que Dios es, es decir, que hablamos del amor como nombre propio de una sustancia, que no es otra que el ser mismo de Dios</w:t>
      </w:r>
      <w:r>
        <w:rPr>
          <w:rStyle w:val="Refdenotaalpie"/>
        </w:rPr>
        <w:footnoteReference w:id="7"/>
      </w:r>
      <w:r>
        <w:t>.</w:t>
      </w:r>
    </w:p>
    <w:p w:rsidR="00AD5EDB" w:rsidRDefault="00AD5EDB" w:rsidP="00C85927">
      <w:bookmarkStart w:id="10" w:name="_Toc132040010"/>
      <w:bookmarkStart w:id="11" w:name="_Toc132041569"/>
      <w:bookmarkStart w:id="12" w:name="_Toc137026684"/>
      <w:r>
        <w:t>Dios nos ama primero</w:t>
      </w:r>
      <w:bookmarkEnd w:id="10"/>
      <w:bookmarkEnd w:id="11"/>
      <w:bookmarkEnd w:id="12"/>
    </w:p>
    <w:p w:rsidR="00AD5EDB" w:rsidRDefault="00AD5EDB" w:rsidP="00AD5EDB">
      <w:pPr>
        <w:pStyle w:val="Sangradetextonormal"/>
      </w:pPr>
      <w:r>
        <w:t>Esta afirmación de la identidad Dios</w:t>
      </w:r>
      <w:r>
        <w:noBreakHyphen/>
        <w:t>amor es, en realidad, la constatación de una experiencia fundamental transmitida por el mismo apóstol Juan: Dios nos ha amado primero (cf. 1Jn 4,10). Guillermo personaliza esta experiencia, planteándose dos preguntas que sólo en la intimidad de la vida divina encuentran una respuesta auténtica.</w:t>
      </w:r>
    </w:p>
    <w:p w:rsidR="00AD5EDB" w:rsidRDefault="00AD5EDB" w:rsidP="00AD5EDB">
      <w:r>
        <w:t>La primera se refiere a la motivación del amor divino por el hombre: ¿</w:t>
      </w:r>
      <w:r>
        <w:rPr>
          <w:i/>
          <w:iCs/>
        </w:rPr>
        <w:t>por qué</w:t>
      </w:r>
      <w:r>
        <w:t xml:space="preserve"> nos ama Dios? Según nuestro abad, Dios nos ama porque nos quiere mover con su amor a que lo amemos, ya que sólo así podemos realizar el fin para el que hemos sido creados. Así, al amarnos, Dios nos manifiesta un amor plenamente desinteresado; un amor que, en consecuencia, no es indigente del nuestro ni tampoco respuesta a él, sino un amor verdaderamente </w:t>
      </w:r>
      <w:proofErr w:type="spellStart"/>
      <w:r>
        <w:t>fontal</w:t>
      </w:r>
      <w:proofErr w:type="spellEnd"/>
      <w:r>
        <w:t xml:space="preserve"> y gratuito, un amor que tiene en él mismo su plenitud</w:t>
      </w:r>
      <w:r>
        <w:rPr>
          <w:rStyle w:val="Refdenotaalpie"/>
        </w:rPr>
        <w:footnoteReference w:id="8"/>
      </w:r>
      <w:r>
        <w:t>.</w:t>
      </w:r>
    </w:p>
    <w:p w:rsidR="00AD5EDB" w:rsidRDefault="00AD5EDB" w:rsidP="00C85927"/>
    <w:p w:rsidR="00AD5EDB" w:rsidRDefault="00AD5EDB" w:rsidP="00C85927">
      <w:pPr>
        <w:rPr>
          <w:i/>
          <w:iCs/>
        </w:rPr>
      </w:pPr>
      <w:bookmarkStart w:id="13" w:name="_Toc132040020"/>
      <w:bookmarkStart w:id="14" w:name="_Toc132041579"/>
      <w:bookmarkStart w:id="15" w:name="_Toc137026694"/>
      <w:r>
        <w:t xml:space="preserve">«Dei </w:t>
      </w:r>
      <w:proofErr w:type="spellStart"/>
      <w:r>
        <w:t>notitia</w:t>
      </w:r>
      <w:proofErr w:type="spellEnd"/>
      <w:r>
        <w:t>»</w:t>
      </w:r>
      <w:r>
        <w:br/>
        <w:t xml:space="preserve">La Trinidad en los comentarios exegéticos y en </w:t>
      </w:r>
      <w:proofErr w:type="spellStart"/>
      <w:r>
        <w:rPr>
          <w:i/>
          <w:iCs/>
        </w:rPr>
        <w:t>Meditativae</w:t>
      </w:r>
      <w:proofErr w:type="spellEnd"/>
      <w:r>
        <w:rPr>
          <w:i/>
          <w:iCs/>
        </w:rPr>
        <w:t xml:space="preserve"> </w:t>
      </w:r>
      <w:proofErr w:type="spellStart"/>
      <w:r>
        <w:rPr>
          <w:i/>
          <w:iCs/>
        </w:rPr>
        <w:t>orationes</w:t>
      </w:r>
      <w:bookmarkEnd w:id="13"/>
      <w:bookmarkEnd w:id="14"/>
      <w:bookmarkEnd w:id="15"/>
      <w:proofErr w:type="spellEnd"/>
    </w:p>
    <w:p w:rsidR="00AD5EDB" w:rsidRDefault="00AD5EDB" w:rsidP="00AD5EDB">
      <w:r>
        <w:t>La lectura orante de la Escritura es, para Guillermo de Saint-Thierry, el punto de partida para que quien busca a Dios pueda llegar a formarse un pensamiento verdaderamente coherente sobre él</w:t>
      </w:r>
      <w:r>
        <w:rPr>
          <w:rStyle w:val="Refdenotaalpie"/>
        </w:rPr>
        <w:footnoteReference w:id="9"/>
      </w:r>
      <w:r>
        <w:t>. En este sentido, también para nuestro abad, la teología «es siempre palabra segunda con respecto a la oración y a la doxología»</w:t>
      </w:r>
      <w:r>
        <w:rPr>
          <w:rStyle w:val="Refdenotaalpie"/>
        </w:rPr>
        <w:footnoteReference w:id="10"/>
      </w:r>
      <w:r>
        <w:t xml:space="preserve">. Por eso en este capítulo hemos reunido una serie de obras, de este período anterior a la </w:t>
      </w:r>
      <w:proofErr w:type="spellStart"/>
      <w:r>
        <w:rPr>
          <w:i/>
          <w:iCs/>
        </w:rPr>
        <w:t>Disputatio</w:t>
      </w:r>
      <w:proofErr w:type="spellEnd"/>
      <w:r>
        <w:t xml:space="preserve">, en las que nuestro autor pone en práctica estos dos elementos del pensar sobre Dios tan </w:t>
      </w:r>
      <w:r>
        <w:lastRenderedPageBreak/>
        <w:t xml:space="preserve">básicos para él, bien haciendo exégesis de algún libro bíblico (como la </w:t>
      </w:r>
      <w:r>
        <w:rPr>
          <w:i/>
          <w:iCs/>
        </w:rPr>
        <w:t>Carta a los Romanos</w:t>
      </w:r>
      <w:r>
        <w:t xml:space="preserve"> o el </w:t>
      </w:r>
      <w:r>
        <w:rPr>
          <w:i/>
          <w:iCs/>
        </w:rPr>
        <w:t>Cantar de los cantares</w:t>
      </w:r>
      <w:r>
        <w:t xml:space="preserve">), bien exponiendo su propia experiencia de orante (como en </w:t>
      </w:r>
      <w:proofErr w:type="spellStart"/>
      <w:r>
        <w:rPr>
          <w:i/>
          <w:iCs/>
        </w:rPr>
        <w:t>Meditativae</w:t>
      </w:r>
      <w:proofErr w:type="spellEnd"/>
      <w:r>
        <w:rPr>
          <w:i/>
          <w:iCs/>
        </w:rPr>
        <w:t xml:space="preserve"> </w:t>
      </w:r>
      <w:proofErr w:type="spellStart"/>
      <w:r>
        <w:rPr>
          <w:i/>
          <w:iCs/>
        </w:rPr>
        <w:t>orationes</w:t>
      </w:r>
      <w:proofErr w:type="spellEnd"/>
      <w:r>
        <w:t>).</w:t>
      </w:r>
    </w:p>
    <w:p w:rsidR="00AD5EDB" w:rsidRDefault="00AD5EDB" w:rsidP="00BA08FA">
      <w:bookmarkStart w:id="16" w:name="_Toc132040021"/>
      <w:bookmarkStart w:id="17" w:name="_Toc132041580"/>
      <w:bookmarkStart w:id="18" w:name="_Toc137026695"/>
      <w:r>
        <w:t xml:space="preserve">«Gloria Dei </w:t>
      </w:r>
      <w:proofErr w:type="spellStart"/>
      <w:r>
        <w:t>omnibus</w:t>
      </w:r>
      <w:proofErr w:type="spellEnd"/>
      <w:r>
        <w:t xml:space="preserve"> </w:t>
      </w:r>
      <w:proofErr w:type="spellStart"/>
      <w:r>
        <w:t>praedicanda</w:t>
      </w:r>
      <w:proofErr w:type="spellEnd"/>
      <w:r>
        <w:t xml:space="preserve">»: La </w:t>
      </w:r>
      <w:proofErr w:type="spellStart"/>
      <w:r>
        <w:rPr>
          <w:i/>
          <w:iCs/>
        </w:rPr>
        <w:t>Expositio</w:t>
      </w:r>
      <w:proofErr w:type="spellEnd"/>
      <w:r>
        <w:rPr>
          <w:i/>
          <w:iCs/>
        </w:rPr>
        <w:t xml:space="preserve"> </w:t>
      </w:r>
      <w:proofErr w:type="spellStart"/>
      <w:r>
        <w:rPr>
          <w:i/>
          <w:iCs/>
        </w:rPr>
        <w:t>super</w:t>
      </w:r>
      <w:proofErr w:type="spellEnd"/>
      <w:r>
        <w:rPr>
          <w:i/>
          <w:iCs/>
        </w:rPr>
        <w:t xml:space="preserve"> </w:t>
      </w:r>
      <w:proofErr w:type="spellStart"/>
      <w:r>
        <w:rPr>
          <w:i/>
          <w:iCs/>
        </w:rPr>
        <w:t>epistolam</w:t>
      </w:r>
      <w:proofErr w:type="spellEnd"/>
      <w:r>
        <w:rPr>
          <w:i/>
          <w:iCs/>
        </w:rPr>
        <w:t xml:space="preserve"> ad Romanos</w:t>
      </w:r>
      <w:bookmarkEnd w:id="16"/>
      <w:bookmarkEnd w:id="17"/>
      <w:bookmarkEnd w:id="18"/>
    </w:p>
    <w:p w:rsidR="00AD5EDB" w:rsidRDefault="00AD5EDB" w:rsidP="00AD5EDB">
      <w:r>
        <w:t xml:space="preserve">Este comentario exegético de Guillermo a la </w:t>
      </w:r>
      <w:r>
        <w:rPr>
          <w:i/>
          <w:iCs/>
        </w:rPr>
        <w:t>Carta a los Romanos</w:t>
      </w:r>
      <w:r>
        <w:t xml:space="preserve">, concluido hacia el año 1137, cuando era ya monje cisterciense en </w:t>
      </w:r>
      <w:proofErr w:type="spellStart"/>
      <w:r>
        <w:t>Signy</w:t>
      </w:r>
      <w:proofErr w:type="spellEnd"/>
      <w:r>
        <w:rPr>
          <w:rStyle w:val="Refdenotaalpie"/>
        </w:rPr>
        <w:footnoteReference w:id="11"/>
      </w:r>
      <w:r>
        <w:t>, es una obra tremendamente original, aun cuando, según el testimonio del propio autor, esté compuesta a partir de textos de Agustín y de Orígenes</w:t>
      </w:r>
      <w:r>
        <w:rPr>
          <w:rStyle w:val="Refdenotaalpie"/>
        </w:rPr>
        <w:footnoteReference w:id="12"/>
      </w:r>
      <w:r>
        <w:t>. Nosotros no vamos a fijarnos en el conjunto de la obra, sino en aquellos lugares en los que el pensamiento trinitario de nuestro monje destaca con especial intensidad.</w:t>
      </w:r>
    </w:p>
    <w:p w:rsidR="00AD5EDB" w:rsidRDefault="00AD5EDB" w:rsidP="00BA08FA">
      <w:bookmarkStart w:id="20" w:name="_Toc132040022"/>
      <w:bookmarkStart w:id="21" w:name="_Toc132041581"/>
      <w:bookmarkStart w:id="22" w:name="_Ref135803845"/>
      <w:bookmarkStart w:id="23" w:name="_Toc137026696"/>
      <w:r>
        <w:t>«Veritas Dei»: la «</w:t>
      </w:r>
      <w:proofErr w:type="spellStart"/>
      <w:r>
        <w:t>notitia</w:t>
      </w:r>
      <w:proofErr w:type="spellEnd"/>
      <w:r>
        <w:t>» de Dios en la creación</w:t>
      </w:r>
      <w:bookmarkEnd w:id="20"/>
      <w:bookmarkEnd w:id="21"/>
      <w:bookmarkEnd w:id="22"/>
      <w:bookmarkEnd w:id="23"/>
    </w:p>
    <w:p w:rsidR="00AD5EDB" w:rsidRDefault="00AD5EDB" w:rsidP="00AD5EDB">
      <w:r>
        <w:t xml:space="preserve">Al hilo de la lectura del apóstol, Guillermo se encuentra con el célebre paso de </w:t>
      </w:r>
      <w:proofErr w:type="spellStart"/>
      <w:r>
        <w:t>Rm</w:t>
      </w:r>
      <w:proofErr w:type="spellEnd"/>
      <w:r>
        <w:t> 1,18-20 tradicionalmente utilizado para fundamentar la posibilidad de un conocimiento de Dios a partir de la creación. Vamos a detenernos en este tema por el que nuestro autor demuestra tener un interés especial</w:t>
      </w:r>
      <w:r>
        <w:rPr>
          <w:rStyle w:val="Refdenotaalpie"/>
        </w:rPr>
        <w:footnoteReference w:id="13"/>
      </w:r>
      <w:r>
        <w:t xml:space="preserve"> y a tratar de sintetizar los aspectos de su comentario más relacionados con su pensamiento sobre el misterio de Dios.</w:t>
      </w:r>
    </w:p>
    <w:p w:rsidR="00AD5EDB" w:rsidRDefault="00AD5EDB" w:rsidP="00BA08FA">
      <w:r>
        <w:t xml:space="preserve">«Vera et </w:t>
      </w:r>
      <w:proofErr w:type="spellStart"/>
      <w:r>
        <w:t>naturalis</w:t>
      </w:r>
      <w:proofErr w:type="spellEnd"/>
      <w:r>
        <w:t xml:space="preserve"> </w:t>
      </w:r>
      <w:proofErr w:type="spellStart"/>
      <w:r>
        <w:t>cognitio</w:t>
      </w:r>
      <w:proofErr w:type="spellEnd"/>
      <w:r>
        <w:t>»: características del conocimiento de Dios</w:t>
      </w:r>
    </w:p>
    <w:p w:rsidR="00AD5EDB" w:rsidRDefault="00AD5EDB" w:rsidP="00AD5EDB">
      <w:r>
        <w:t xml:space="preserve">El título de este epígrafe —una expresión del propio Guillermo, como enseguida veremos— nos dice cuál es su postura fundamental respecto al tema del conocimiento de Dios a partir de las criaturas. Los dos adjetivos aplicados a </w:t>
      </w:r>
      <w:proofErr w:type="spellStart"/>
      <w:r>
        <w:rPr>
          <w:i/>
          <w:iCs/>
        </w:rPr>
        <w:t>cognitio</w:t>
      </w:r>
      <w:proofErr w:type="spellEnd"/>
      <w:r>
        <w:t xml:space="preserve"> resultan ser, de hecho, muy elocuentes.</w:t>
      </w:r>
    </w:p>
    <w:p w:rsidR="00AD5EDB" w:rsidRDefault="00AD5EDB" w:rsidP="00AD5EDB">
      <w:r>
        <w:t xml:space="preserve">Se trata, por un lado, de una </w:t>
      </w:r>
      <w:proofErr w:type="spellStart"/>
      <w:r>
        <w:rPr>
          <w:i/>
          <w:iCs/>
        </w:rPr>
        <w:t>cognitio</w:t>
      </w:r>
      <w:proofErr w:type="spellEnd"/>
      <w:r>
        <w:t xml:space="preserve"> </w:t>
      </w:r>
      <w:proofErr w:type="spellStart"/>
      <w:r>
        <w:rPr>
          <w:i/>
          <w:iCs/>
        </w:rPr>
        <w:t>naturalis</w:t>
      </w:r>
      <w:proofErr w:type="spellEnd"/>
      <w:r>
        <w:t xml:space="preserve">, porque el hombre necesita partir de lo sensible para conocer la realidad. Así al decir </w:t>
      </w:r>
      <w:proofErr w:type="spellStart"/>
      <w:r>
        <w:rPr>
          <w:i/>
          <w:iCs/>
        </w:rPr>
        <w:t>naturalis</w:t>
      </w:r>
      <w:proofErr w:type="spellEnd"/>
      <w:r>
        <w:t xml:space="preserve">, Guillermo piensa en la creación como ámbito donde Dios se manifiesta para ser conocido, pero también en el hombre, en cuanto ser capacitado estructuralmente para acoger en sí mismo esa manifestación divina en las criaturas. Ahora bien, ¿en virtud de qué está capacitado el hombre para este conocimiento de Dios? Comentando </w:t>
      </w:r>
      <w:proofErr w:type="spellStart"/>
      <w:r>
        <w:t>Rm</w:t>
      </w:r>
      <w:proofErr w:type="spellEnd"/>
      <w:r>
        <w:t> 1,19 nuestro monje lo explica así:</w:t>
      </w:r>
    </w:p>
    <w:p w:rsidR="00AD5EDB" w:rsidRPr="00FC5068" w:rsidRDefault="00AD5EDB" w:rsidP="00AD5EDB">
      <w:pPr>
        <w:pStyle w:val="Cita4lneas"/>
        <w:rPr>
          <w:lang w:val="it-IT"/>
        </w:rPr>
      </w:pPr>
      <w:proofErr w:type="spellStart"/>
      <w:r w:rsidRPr="00F7127E">
        <w:rPr>
          <w:i/>
          <w:iCs/>
        </w:rPr>
        <w:t>Etenim</w:t>
      </w:r>
      <w:proofErr w:type="spellEnd"/>
      <w:r w:rsidRPr="00F7127E">
        <w:rPr>
          <w:i/>
          <w:iCs/>
        </w:rPr>
        <w:t xml:space="preserve"> </w:t>
      </w:r>
      <w:proofErr w:type="spellStart"/>
      <w:r w:rsidRPr="00F7127E">
        <w:rPr>
          <w:i/>
          <w:iCs/>
        </w:rPr>
        <w:t>quod</w:t>
      </w:r>
      <w:proofErr w:type="spellEnd"/>
      <w:r w:rsidRPr="00F7127E">
        <w:rPr>
          <w:i/>
          <w:iCs/>
        </w:rPr>
        <w:t xml:space="preserve"> </w:t>
      </w:r>
      <w:proofErr w:type="spellStart"/>
      <w:r w:rsidRPr="00F7127E">
        <w:rPr>
          <w:i/>
          <w:iCs/>
        </w:rPr>
        <w:t>notum</w:t>
      </w:r>
      <w:proofErr w:type="spellEnd"/>
      <w:r w:rsidRPr="00F7127E">
        <w:rPr>
          <w:i/>
          <w:iCs/>
        </w:rPr>
        <w:t xml:space="preserve"> </w:t>
      </w:r>
      <w:proofErr w:type="spellStart"/>
      <w:r w:rsidRPr="00F7127E">
        <w:rPr>
          <w:i/>
          <w:iCs/>
        </w:rPr>
        <w:t>est</w:t>
      </w:r>
      <w:proofErr w:type="spellEnd"/>
      <w:r w:rsidRPr="00F7127E">
        <w:rPr>
          <w:i/>
          <w:iCs/>
        </w:rPr>
        <w:t xml:space="preserve"> Dei, </w:t>
      </w:r>
      <w:proofErr w:type="spellStart"/>
      <w:r w:rsidRPr="00F7127E">
        <w:rPr>
          <w:i/>
          <w:iCs/>
        </w:rPr>
        <w:t>manifestum</w:t>
      </w:r>
      <w:proofErr w:type="spellEnd"/>
      <w:r w:rsidRPr="00F7127E">
        <w:rPr>
          <w:i/>
          <w:iCs/>
        </w:rPr>
        <w:t xml:space="preserve"> </w:t>
      </w:r>
      <w:proofErr w:type="spellStart"/>
      <w:r w:rsidRPr="00F7127E">
        <w:rPr>
          <w:i/>
          <w:iCs/>
        </w:rPr>
        <w:t>est</w:t>
      </w:r>
      <w:proofErr w:type="spellEnd"/>
      <w:r w:rsidRPr="00F7127E">
        <w:rPr>
          <w:i/>
          <w:iCs/>
        </w:rPr>
        <w:t xml:space="preserve"> in </w:t>
      </w:r>
      <w:proofErr w:type="spellStart"/>
      <w:r w:rsidRPr="00F7127E">
        <w:rPr>
          <w:i/>
          <w:iCs/>
        </w:rPr>
        <w:t>illis</w:t>
      </w:r>
      <w:proofErr w:type="spellEnd"/>
      <w:r w:rsidRPr="00F7127E">
        <w:rPr>
          <w:i/>
          <w:iCs/>
        </w:rPr>
        <w:t xml:space="preserve">. </w:t>
      </w:r>
      <w:r>
        <w:rPr>
          <w:i/>
          <w:iCs/>
        </w:rPr>
        <w:t xml:space="preserve">Deus </w:t>
      </w:r>
      <w:proofErr w:type="spellStart"/>
      <w:r>
        <w:rPr>
          <w:i/>
          <w:iCs/>
        </w:rPr>
        <w:t>enim</w:t>
      </w:r>
      <w:proofErr w:type="spellEnd"/>
      <w:r>
        <w:rPr>
          <w:i/>
          <w:iCs/>
        </w:rPr>
        <w:t xml:space="preserve"> </w:t>
      </w:r>
      <w:proofErr w:type="spellStart"/>
      <w:r>
        <w:rPr>
          <w:i/>
          <w:iCs/>
        </w:rPr>
        <w:t>illis</w:t>
      </w:r>
      <w:proofErr w:type="spellEnd"/>
      <w:r>
        <w:rPr>
          <w:i/>
          <w:iCs/>
        </w:rPr>
        <w:t xml:space="preserve"> </w:t>
      </w:r>
      <w:proofErr w:type="spellStart"/>
      <w:r>
        <w:rPr>
          <w:i/>
          <w:iCs/>
        </w:rPr>
        <w:t>manifestavit</w:t>
      </w:r>
      <w:proofErr w:type="spellEnd"/>
      <w:r>
        <w:t xml:space="preserve">. </w:t>
      </w:r>
      <w:proofErr w:type="spellStart"/>
      <w:r w:rsidRPr="00FC5068">
        <w:rPr>
          <w:lang w:val="it-IT"/>
        </w:rPr>
        <w:t>Quod</w:t>
      </w:r>
      <w:proofErr w:type="spellEnd"/>
      <w:r w:rsidRPr="00FC5068">
        <w:rPr>
          <w:lang w:val="it-IT"/>
        </w:rPr>
        <w:t xml:space="preserve"> </w:t>
      </w:r>
      <w:proofErr w:type="spellStart"/>
      <w:r w:rsidRPr="00FC5068">
        <w:rPr>
          <w:lang w:val="it-IT"/>
        </w:rPr>
        <w:t>notum</w:t>
      </w:r>
      <w:proofErr w:type="spellEnd"/>
      <w:r w:rsidRPr="00FC5068">
        <w:rPr>
          <w:lang w:val="it-IT"/>
        </w:rPr>
        <w:t xml:space="preserve"> est Dei, </w:t>
      </w:r>
      <w:proofErr w:type="spellStart"/>
      <w:r w:rsidRPr="00FC5068">
        <w:rPr>
          <w:lang w:val="it-IT"/>
        </w:rPr>
        <w:t>quod</w:t>
      </w:r>
      <w:proofErr w:type="spellEnd"/>
      <w:r w:rsidRPr="00FC5068">
        <w:rPr>
          <w:lang w:val="it-IT"/>
        </w:rPr>
        <w:t xml:space="preserve"> de Deo </w:t>
      </w:r>
      <w:proofErr w:type="spellStart"/>
      <w:r w:rsidRPr="00FC5068">
        <w:rPr>
          <w:lang w:val="it-IT"/>
        </w:rPr>
        <w:t>humana</w:t>
      </w:r>
      <w:proofErr w:type="spellEnd"/>
      <w:r w:rsidRPr="00FC5068">
        <w:rPr>
          <w:lang w:val="it-IT"/>
        </w:rPr>
        <w:t xml:space="preserve"> </w:t>
      </w:r>
      <w:proofErr w:type="spellStart"/>
      <w:r w:rsidRPr="00FC5068">
        <w:rPr>
          <w:lang w:val="it-IT"/>
        </w:rPr>
        <w:t>potest</w:t>
      </w:r>
      <w:proofErr w:type="spellEnd"/>
      <w:r w:rsidRPr="00FC5068">
        <w:rPr>
          <w:lang w:val="it-IT"/>
        </w:rPr>
        <w:t xml:space="preserve"> ratio </w:t>
      </w:r>
      <w:proofErr w:type="spellStart"/>
      <w:r w:rsidRPr="00FC5068">
        <w:rPr>
          <w:lang w:val="it-IT"/>
        </w:rPr>
        <w:t>adtingere</w:t>
      </w:r>
      <w:proofErr w:type="spellEnd"/>
      <w:r w:rsidRPr="00FC5068">
        <w:rPr>
          <w:lang w:val="it-IT"/>
        </w:rPr>
        <w:t xml:space="preserve"> </w:t>
      </w:r>
      <w:r w:rsidRPr="00FC5068">
        <w:rPr>
          <w:lang w:val="it-IT"/>
        </w:rPr>
        <w:lastRenderedPageBreak/>
        <w:t xml:space="preserve">per </w:t>
      </w:r>
      <w:proofErr w:type="spellStart"/>
      <w:r w:rsidRPr="00FC5068">
        <w:rPr>
          <w:lang w:val="it-IT"/>
        </w:rPr>
        <w:t>naturam</w:t>
      </w:r>
      <w:proofErr w:type="spellEnd"/>
      <w:r w:rsidRPr="00FC5068">
        <w:rPr>
          <w:lang w:val="it-IT"/>
        </w:rPr>
        <w:t xml:space="preserve">, non ad </w:t>
      </w:r>
      <w:proofErr w:type="spellStart"/>
      <w:r w:rsidRPr="00FC5068">
        <w:rPr>
          <w:lang w:val="it-IT"/>
        </w:rPr>
        <w:t>quod</w:t>
      </w:r>
      <w:proofErr w:type="spellEnd"/>
      <w:r w:rsidRPr="00FC5068">
        <w:rPr>
          <w:lang w:val="it-IT"/>
        </w:rPr>
        <w:t xml:space="preserve"> pervenire </w:t>
      </w:r>
      <w:proofErr w:type="spellStart"/>
      <w:r w:rsidRPr="00FC5068">
        <w:rPr>
          <w:lang w:val="it-IT"/>
        </w:rPr>
        <w:t>caritati</w:t>
      </w:r>
      <w:proofErr w:type="spellEnd"/>
      <w:r w:rsidRPr="00FC5068">
        <w:rPr>
          <w:lang w:val="it-IT"/>
        </w:rPr>
        <w:t xml:space="preserve"> </w:t>
      </w:r>
      <w:proofErr w:type="spellStart"/>
      <w:r w:rsidRPr="00FC5068">
        <w:rPr>
          <w:lang w:val="it-IT"/>
        </w:rPr>
        <w:t>datur</w:t>
      </w:r>
      <w:proofErr w:type="spellEnd"/>
      <w:r w:rsidRPr="00FC5068">
        <w:rPr>
          <w:lang w:val="it-IT"/>
        </w:rPr>
        <w:t xml:space="preserve"> per </w:t>
      </w:r>
      <w:proofErr w:type="spellStart"/>
      <w:r w:rsidRPr="00FC5068">
        <w:rPr>
          <w:lang w:val="it-IT"/>
        </w:rPr>
        <w:t>gratiam</w:t>
      </w:r>
      <w:proofErr w:type="spellEnd"/>
      <w:r w:rsidRPr="00FC5068">
        <w:rPr>
          <w:lang w:val="it-IT"/>
        </w:rPr>
        <w:t xml:space="preserve">, Deus </w:t>
      </w:r>
      <w:proofErr w:type="spellStart"/>
      <w:r w:rsidRPr="00FC5068">
        <w:rPr>
          <w:lang w:val="it-IT"/>
        </w:rPr>
        <w:t>illis</w:t>
      </w:r>
      <w:proofErr w:type="spellEnd"/>
      <w:r w:rsidRPr="00FC5068">
        <w:rPr>
          <w:lang w:val="it-IT"/>
        </w:rPr>
        <w:t xml:space="preserve"> </w:t>
      </w:r>
      <w:proofErr w:type="spellStart"/>
      <w:r w:rsidRPr="00FC5068">
        <w:rPr>
          <w:lang w:val="it-IT"/>
        </w:rPr>
        <w:t>manifestavit</w:t>
      </w:r>
      <w:proofErr w:type="spellEnd"/>
      <w:r w:rsidRPr="00FC5068">
        <w:rPr>
          <w:lang w:val="it-IT"/>
        </w:rPr>
        <w:t xml:space="preserve">, </w:t>
      </w:r>
      <w:proofErr w:type="spellStart"/>
      <w:r w:rsidRPr="00FC5068">
        <w:rPr>
          <w:lang w:val="it-IT"/>
        </w:rPr>
        <w:t>rationem</w:t>
      </w:r>
      <w:proofErr w:type="spellEnd"/>
      <w:r w:rsidRPr="00FC5068">
        <w:rPr>
          <w:lang w:val="it-IT"/>
        </w:rPr>
        <w:t xml:space="preserve"> </w:t>
      </w:r>
      <w:proofErr w:type="spellStart"/>
      <w:r w:rsidRPr="00FC5068">
        <w:rPr>
          <w:lang w:val="it-IT"/>
        </w:rPr>
        <w:t>sublimioris</w:t>
      </w:r>
      <w:proofErr w:type="spellEnd"/>
      <w:r w:rsidRPr="00FC5068">
        <w:rPr>
          <w:lang w:val="it-IT"/>
        </w:rPr>
        <w:t xml:space="preserve"> </w:t>
      </w:r>
      <w:proofErr w:type="spellStart"/>
      <w:r w:rsidRPr="00FC5068">
        <w:rPr>
          <w:lang w:val="it-IT"/>
        </w:rPr>
        <w:t>intelligentiae</w:t>
      </w:r>
      <w:proofErr w:type="spellEnd"/>
      <w:r w:rsidRPr="00FC5068">
        <w:rPr>
          <w:lang w:val="it-IT"/>
        </w:rPr>
        <w:t xml:space="preserve"> </w:t>
      </w:r>
      <w:proofErr w:type="spellStart"/>
      <w:r w:rsidRPr="00FC5068">
        <w:rPr>
          <w:lang w:val="it-IT"/>
        </w:rPr>
        <w:t>capacem</w:t>
      </w:r>
      <w:proofErr w:type="spellEnd"/>
      <w:r w:rsidRPr="00FC5068">
        <w:rPr>
          <w:lang w:val="it-IT"/>
        </w:rPr>
        <w:t xml:space="preserve"> donando </w:t>
      </w:r>
      <w:proofErr w:type="spellStart"/>
      <w:r w:rsidRPr="00FC5068">
        <w:rPr>
          <w:lang w:val="it-IT"/>
        </w:rPr>
        <w:t>eis</w:t>
      </w:r>
      <w:proofErr w:type="spellEnd"/>
      <w:r w:rsidRPr="00FC5068">
        <w:rPr>
          <w:lang w:val="it-IT"/>
        </w:rPr>
        <w:t xml:space="preserve"> ex natura, </w:t>
      </w:r>
      <w:proofErr w:type="spellStart"/>
      <w:r w:rsidRPr="00FC5068">
        <w:rPr>
          <w:lang w:val="it-IT"/>
        </w:rPr>
        <w:t>intelligentiam</w:t>
      </w:r>
      <w:proofErr w:type="spellEnd"/>
      <w:r w:rsidRPr="00FC5068">
        <w:rPr>
          <w:lang w:val="it-IT"/>
        </w:rPr>
        <w:t xml:space="preserve"> vero </w:t>
      </w:r>
      <w:proofErr w:type="spellStart"/>
      <w:r w:rsidRPr="00FC5068">
        <w:rPr>
          <w:lang w:val="it-IT"/>
        </w:rPr>
        <w:t>ipsam</w:t>
      </w:r>
      <w:proofErr w:type="spellEnd"/>
      <w:r w:rsidRPr="00FC5068">
        <w:rPr>
          <w:lang w:val="it-IT"/>
        </w:rPr>
        <w:t xml:space="preserve"> ex </w:t>
      </w:r>
      <w:proofErr w:type="spellStart"/>
      <w:r w:rsidRPr="00FC5068">
        <w:rPr>
          <w:lang w:val="it-IT"/>
        </w:rPr>
        <w:t>gratia</w:t>
      </w:r>
      <w:proofErr w:type="spellEnd"/>
      <w:r>
        <w:rPr>
          <w:rStyle w:val="Refdenotaalpie"/>
        </w:rPr>
        <w:footnoteReference w:id="14"/>
      </w:r>
      <w:r w:rsidRPr="00FC5068">
        <w:rPr>
          <w:lang w:val="it-IT"/>
        </w:rPr>
        <w:t>.</w:t>
      </w:r>
    </w:p>
    <w:p w:rsidR="00AD5EDB" w:rsidRDefault="00AD5EDB" w:rsidP="00AD5EDB">
      <w:r>
        <w:t xml:space="preserve">No se postula, como nosotros podríamos pensar, de una especie de razón </w:t>
      </w:r>
      <w:r>
        <w:rPr>
          <w:i/>
          <w:iCs/>
        </w:rPr>
        <w:t>pura</w:t>
      </w:r>
      <w:r>
        <w:t xml:space="preserve"> por la que el hombre llegaría al conocimiento de Dios, mediante un proceso lógico de deducción a partir de lo creado. Guillermo piensa desde luego en la </w:t>
      </w:r>
      <w:r>
        <w:rPr>
          <w:i/>
          <w:iCs/>
        </w:rPr>
        <w:t>ratio</w:t>
      </w:r>
      <w:r>
        <w:t xml:space="preserve">, pero concebida no sólo como capacidad abstracta de intelección </w:t>
      </w:r>
      <w:r>
        <w:rPr>
          <w:spacing w:val="-4"/>
        </w:rPr>
        <w:t>(</w:t>
      </w:r>
      <w:proofErr w:type="spellStart"/>
      <w:r>
        <w:rPr>
          <w:i/>
          <w:iCs/>
          <w:spacing w:val="-4"/>
        </w:rPr>
        <w:t>rationem</w:t>
      </w:r>
      <w:proofErr w:type="spellEnd"/>
      <w:r>
        <w:rPr>
          <w:i/>
          <w:iCs/>
          <w:spacing w:val="-4"/>
        </w:rPr>
        <w:t xml:space="preserve"> </w:t>
      </w:r>
      <w:proofErr w:type="spellStart"/>
      <w:r>
        <w:rPr>
          <w:i/>
          <w:iCs/>
          <w:spacing w:val="-4"/>
        </w:rPr>
        <w:t>intelligentiae</w:t>
      </w:r>
      <w:proofErr w:type="spellEnd"/>
      <w:r>
        <w:rPr>
          <w:i/>
          <w:iCs/>
          <w:spacing w:val="-4"/>
        </w:rPr>
        <w:t xml:space="preserve"> </w:t>
      </w:r>
      <w:proofErr w:type="spellStart"/>
      <w:r>
        <w:rPr>
          <w:i/>
          <w:iCs/>
          <w:spacing w:val="-4"/>
        </w:rPr>
        <w:t>capacem</w:t>
      </w:r>
      <w:proofErr w:type="spellEnd"/>
      <w:r>
        <w:rPr>
          <w:spacing w:val="-4"/>
        </w:rPr>
        <w:t>)</w:t>
      </w:r>
      <w:r>
        <w:t xml:space="preserve"> </w:t>
      </w:r>
      <w:r>
        <w:rPr>
          <w:spacing w:val="-4"/>
        </w:rPr>
        <w:t>sino también como don</w:t>
      </w:r>
      <w:r>
        <w:t xml:space="preserve"> (</w:t>
      </w:r>
      <w:r>
        <w:rPr>
          <w:i/>
          <w:iCs/>
        </w:rPr>
        <w:t>donando</w:t>
      </w:r>
      <w:r>
        <w:t xml:space="preserve">). Así la </w:t>
      </w:r>
      <w:r>
        <w:rPr>
          <w:i/>
          <w:iCs/>
        </w:rPr>
        <w:t>ratio</w:t>
      </w:r>
      <w:r>
        <w:t xml:space="preserve"> es capaz de conocer a Dios porque está configurada como </w:t>
      </w:r>
      <w:r>
        <w:rPr>
          <w:i/>
          <w:iCs/>
        </w:rPr>
        <w:t>apertura</w:t>
      </w:r>
      <w:r>
        <w:t xml:space="preserve"> para acoger a ese Dios que primero (</w:t>
      </w:r>
      <w:r>
        <w:rPr>
          <w:i/>
          <w:iCs/>
        </w:rPr>
        <w:t>ex gratia</w:t>
      </w:r>
      <w:r>
        <w:t xml:space="preserve">) se le manifiesta inteligible en la creación. La </w:t>
      </w:r>
      <w:proofErr w:type="spellStart"/>
      <w:r>
        <w:rPr>
          <w:i/>
          <w:iCs/>
        </w:rPr>
        <w:t>cognitio</w:t>
      </w:r>
      <w:proofErr w:type="spellEnd"/>
      <w:r>
        <w:rPr>
          <w:i/>
          <w:iCs/>
        </w:rPr>
        <w:t xml:space="preserve"> </w:t>
      </w:r>
      <w:proofErr w:type="spellStart"/>
      <w:r>
        <w:rPr>
          <w:i/>
          <w:iCs/>
        </w:rPr>
        <w:t>naturalis</w:t>
      </w:r>
      <w:proofErr w:type="spellEnd"/>
      <w:r>
        <w:t>, pues, lejos de implicar un proceso cognoscitivo unidireccional, supone un auténtico encuentro entre Dios y el hombre. Por eso en su primera referencia a este versículo 19 nuestro monje se complacía en subrayar el detalle de que el apóstol, antes de decir que Dios ha manifestado lo que de él se puede conocer (</w:t>
      </w:r>
      <w:proofErr w:type="spellStart"/>
      <w:r>
        <w:rPr>
          <w:i/>
          <w:iCs/>
        </w:rPr>
        <w:t>quod</w:t>
      </w:r>
      <w:proofErr w:type="spellEnd"/>
      <w:r>
        <w:rPr>
          <w:i/>
          <w:iCs/>
        </w:rPr>
        <w:t xml:space="preserve"> </w:t>
      </w:r>
      <w:proofErr w:type="spellStart"/>
      <w:r>
        <w:rPr>
          <w:i/>
          <w:iCs/>
        </w:rPr>
        <w:t>notum</w:t>
      </w:r>
      <w:proofErr w:type="spellEnd"/>
      <w:r>
        <w:rPr>
          <w:i/>
          <w:iCs/>
        </w:rPr>
        <w:t xml:space="preserve"> </w:t>
      </w:r>
      <w:proofErr w:type="spellStart"/>
      <w:r>
        <w:rPr>
          <w:i/>
          <w:iCs/>
        </w:rPr>
        <w:t>est</w:t>
      </w:r>
      <w:proofErr w:type="spellEnd"/>
      <w:r>
        <w:rPr>
          <w:i/>
          <w:iCs/>
        </w:rPr>
        <w:t xml:space="preserve"> Dei</w:t>
      </w:r>
      <w:r>
        <w:t xml:space="preserve">) </w:t>
      </w:r>
      <w:r>
        <w:rPr>
          <w:i/>
          <w:iCs/>
        </w:rPr>
        <w:t>a</w:t>
      </w:r>
      <w:r>
        <w:t xml:space="preserve"> los hombres (empleando el dativo </w:t>
      </w:r>
      <w:proofErr w:type="spellStart"/>
      <w:r>
        <w:rPr>
          <w:i/>
          <w:iCs/>
        </w:rPr>
        <w:t>illis</w:t>
      </w:r>
      <w:proofErr w:type="spellEnd"/>
      <w:r>
        <w:t xml:space="preserve">), dice que lo manifestó </w:t>
      </w:r>
      <w:r>
        <w:rPr>
          <w:i/>
          <w:iCs/>
        </w:rPr>
        <w:t>en</w:t>
      </w:r>
      <w:r>
        <w:t xml:space="preserve"> ellos (usando el ablativo </w:t>
      </w:r>
      <w:r>
        <w:rPr>
          <w:i/>
          <w:iCs/>
        </w:rPr>
        <w:t xml:space="preserve">in </w:t>
      </w:r>
      <w:proofErr w:type="spellStart"/>
      <w:r>
        <w:rPr>
          <w:i/>
          <w:iCs/>
        </w:rPr>
        <w:t>illis</w:t>
      </w:r>
      <w:proofErr w:type="spellEnd"/>
      <w:r>
        <w:t xml:space="preserve">). Es decir, que en esta manifestación suya a través de lo creado Dios se dirige a los hombres no como a meros receptores pasivos de su verdad, sino como a interlocutores llamados a acogerla </w:t>
      </w:r>
      <w:r>
        <w:rPr>
          <w:i/>
          <w:iCs/>
        </w:rPr>
        <w:t>en</w:t>
      </w:r>
      <w:r>
        <w:t xml:space="preserve"> sí mismos.</w:t>
      </w:r>
    </w:p>
    <w:p w:rsidR="00AD5EDB" w:rsidRDefault="00AD5EDB" w:rsidP="00BA08FA">
      <w:bookmarkStart w:id="24" w:name="_Toc137026765"/>
      <w:r>
        <w:t>Conclusión</w:t>
      </w:r>
      <w:bookmarkEnd w:id="24"/>
    </w:p>
    <w:p w:rsidR="00AD5EDB" w:rsidRDefault="00AD5EDB" w:rsidP="00AD5EDB">
      <w:r>
        <w:t>El estudio de la teología trinitaria de Guillermo de Saint-Thierry nos ha llevado a recorrer su importante obra teológica con detenimiento y atención, tratando de evidenciar cómo la presencia de la Trinidad es constante en ella y le aporta unidad y profundidad. Llegados al final del trabajo, es el momento de exponer algunas de las conclusiones a las que hemos llegado con nuestro estudio. Éstas podrían resumirse básicamente en tres.</w:t>
      </w:r>
    </w:p>
    <w:p w:rsidR="00AD5EDB" w:rsidRDefault="00AD5EDB" w:rsidP="00BA08FA">
      <w:bookmarkStart w:id="25" w:name="_Toc137026766"/>
      <w:r>
        <w:t>¿Una teología trinitaria “funcional”?</w:t>
      </w:r>
      <w:bookmarkEnd w:id="25"/>
    </w:p>
    <w:p w:rsidR="00AD5EDB" w:rsidRDefault="00AD5EDB" w:rsidP="00AD5EDB">
      <w:r>
        <w:t>La primera de nuestras conclusiones quiere ser una valoración de la teología trinitaria de Guillermo en general. Lanzando una mirada al conjunto de su obra, ¿qué es lo que este estudio diacrónico nos ha permitido constatar acerca de su pensamiento trinitario?</w:t>
      </w:r>
    </w:p>
    <w:p w:rsidR="00AD5EDB" w:rsidRDefault="00AD5EDB" w:rsidP="00AD5EDB">
      <w:pPr>
        <w:pStyle w:val="Sangradetextonormal"/>
      </w:pPr>
      <w:r>
        <w:t xml:space="preserve">1. En primer lugar, que Guillermo no hace teología trinitaria sólo en función de su doctrina espiritual, como han afirmado especialistas en nuestro autor de la talla indiscutible de Paul </w:t>
      </w:r>
      <w:proofErr w:type="spellStart"/>
      <w:r>
        <w:t>Verdeyen</w:t>
      </w:r>
      <w:proofErr w:type="spellEnd"/>
      <w:r>
        <w:t xml:space="preserve"> o Giuseppe Como, quien incluso llega a definirla como una teología trinitaria “funcional”</w:t>
      </w:r>
      <w:r>
        <w:rPr>
          <w:rStyle w:val="Refdenotaalpie"/>
        </w:rPr>
        <w:footnoteReference w:id="15"/>
      </w:r>
      <w:r>
        <w:t xml:space="preserve">. </w:t>
      </w:r>
      <w:r>
        <w:lastRenderedPageBreak/>
        <w:t>Esto supone empobrecer en cierto modo esta reflexión trinitaria de Guillermo que, si bien es cierto que contribuye a iluminar su propia experiencia espiritual, tiene, sin embargo, una indiscutible consistencia propia en relación a ésta, como resulta de la variedad de contextos en los que es desarrollada.</w:t>
      </w:r>
    </w:p>
    <w:p w:rsidR="00AD5EDB" w:rsidRDefault="00AD5EDB" w:rsidP="00AD5EDB">
      <w:pPr>
        <w:spacing w:before="120"/>
      </w:pPr>
      <w:r>
        <w:t xml:space="preserve">2. En segundo lugar, en nuestra exposición diacrónica del pensamiento trinitario de Guillermo, hemos podido constatar un proceso de concentración, profundización y sistematización de la misma a lo largo de su obra, cuyo culmen es el </w:t>
      </w:r>
      <w:proofErr w:type="spellStart"/>
      <w:r>
        <w:rPr>
          <w:i/>
          <w:iCs/>
        </w:rPr>
        <w:t>Aenigma</w:t>
      </w:r>
      <w:proofErr w:type="spellEnd"/>
      <w:r>
        <w:rPr>
          <w:i/>
          <w:iCs/>
        </w:rPr>
        <w:t xml:space="preserve"> </w:t>
      </w:r>
      <w:proofErr w:type="spellStart"/>
      <w:r>
        <w:rPr>
          <w:i/>
          <w:iCs/>
        </w:rPr>
        <w:t>fidei</w:t>
      </w:r>
      <w:proofErr w:type="spellEnd"/>
      <w:r>
        <w:t xml:space="preserve">. Valga como ejemplo de lo que decimos </w:t>
      </w:r>
      <w:proofErr w:type="spellStart"/>
      <w:r>
        <w:rPr>
          <w:i/>
          <w:iCs/>
        </w:rPr>
        <w:t>AeFi</w:t>
      </w:r>
      <w:proofErr w:type="spellEnd"/>
      <w:r>
        <w:t> 40 (126):</w:t>
      </w:r>
    </w:p>
    <w:p w:rsidR="00AD5EDB" w:rsidRPr="00F7127E" w:rsidRDefault="00AD5EDB" w:rsidP="00AD5EDB">
      <w:pPr>
        <w:pStyle w:val="Cita4lneas"/>
      </w:pPr>
      <w:r w:rsidRPr="00F7127E">
        <w:t xml:space="preserve">Tribus </w:t>
      </w:r>
      <w:proofErr w:type="spellStart"/>
      <w:r w:rsidRPr="00F7127E">
        <w:t>enim</w:t>
      </w:r>
      <w:proofErr w:type="spellEnd"/>
      <w:r w:rsidRPr="00F7127E">
        <w:t xml:space="preserve"> </w:t>
      </w:r>
      <w:proofErr w:type="spellStart"/>
      <w:r w:rsidRPr="00F7127E">
        <w:t>intelligentiae</w:t>
      </w:r>
      <w:proofErr w:type="spellEnd"/>
      <w:r w:rsidRPr="00F7127E">
        <w:t xml:space="preserve"> </w:t>
      </w:r>
      <w:proofErr w:type="spellStart"/>
      <w:r w:rsidRPr="00F7127E">
        <w:t>gradibus</w:t>
      </w:r>
      <w:proofErr w:type="spellEnd"/>
      <w:r w:rsidRPr="00F7127E">
        <w:t xml:space="preserve"> </w:t>
      </w:r>
      <w:proofErr w:type="spellStart"/>
      <w:r w:rsidRPr="00F7127E">
        <w:t>proficienti</w:t>
      </w:r>
      <w:proofErr w:type="spellEnd"/>
      <w:r w:rsidRPr="00F7127E">
        <w:t xml:space="preserve"> </w:t>
      </w:r>
      <w:proofErr w:type="spellStart"/>
      <w:r w:rsidRPr="00F7127E">
        <w:t>fidei</w:t>
      </w:r>
      <w:proofErr w:type="spellEnd"/>
      <w:r w:rsidRPr="00F7127E">
        <w:t xml:space="preserve"> </w:t>
      </w:r>
      <w:proofErr w:type="spellStart"/>
      <w:r w:rsidRPr="00F7127E">
        <w:t>ascendendum</w:t>
      </w:r>
      <w:proofErr w:type="spellEnd"/>
      <w:r w:rsidRPr="00F7127E">
        <w:t xml:space="preserve"> </w:t>
      </w:r>
      <w:proofErr w:type="spellStart"/>
      <w:r w:rsidRPr="00F7127E">
        <w:t>est</w:t>
      </w:r>
      <w:proofErr w:type="spellEnd"/>
      <w:r w:rsidRPr="00F7127E">
        <w:t xml:space="preserve"> ad </w:t>
      </w:r>
      <w:proofErr w:type="spellStart"/>
      <w:r w:rsidRPr="00F7127E">
        <w:t>Deum</w:t>
      </w:r>
      <w:proofErr w:type="spellEnd"/>
      <w:r w:rsidRPr="00F7127E">
        <w:t xml:space="preserve">, et ad </w:t>
      </w:r>
      <w:proofErr w:type="spellStart"/>
      <w:r w:rsidRPr="00F7127E">
        <w:t>cognitionem</w:t>
      </w:r>
      <w:proofErr w:type="spellEnd"/>
      <w:r w:rsidRPr="00F7127E">
        <w:t xml:space="preserve"> </w:t>
      </w:r>
      <w:proofErr w:type="spellStart"/>
      <w:r w:rsidRPr="00F7127E">
        <w:t>eius</w:t>
      </w:r>
      <w:proofErr w:type="spellEnd"/>
      <w:r w:rsidRPr="00F7127E">
        <w:t xml:space="preserve">. </w:t>
      </w:r>
      <w:proofErr w:type="spellStart"/>
      <w:r w:rsidRPr="00F7127E">
        <w:t>Primus</w:t>
      </w:r>
      <w:proofErr w:type="spellEnd"/>
      <w:r w:rsidRPr="00F7127E">
        <w:t xml:space="preserve"> </w:t>
      </w:r>
      <w:proofErr w:type="spellStart"/>
      <w:r w:rsidRPr="00F7127E">
        <w:t>gradus</w:t>
      </w:r>
      <w:proofErr w:type="spellEnd"/>
      <w:r w:rsidRPr="00F7127E">
        <w:t xml:space="preserve"> </w:t>
      </w:r>
      <w:proofErr w:type="spellStart"/>
      <w:r w:rsidRPr="00F7127E">
        <w:t>est</w:t>
      </w:r>
      <w:proofErr w:type="spellEnd"/>
      <w:r w:rsidRPr="00F7127E">
        <w:t xml:space="preserve"> </w:t>
      </w:r>
      <w:proofErr w:type="spellStart"/>
      <w:r w:rsidRPr="00F7127E">
        <w:t>diligenter</w:t>
      </w:r>
      <w:proofErr w:type="spellEnd"/>
      <w:r w:rsidRPr="00F7127E">
        <w:t xml:space="preserve"> </w:t>
      </w:r>
      <w:proofErr w:type="spellStart"/>
      <w:r w:rsidRPr="00F7127E">
        <w:t>investigatum</w:t>
      </w:r>
      <w:proofErr w:type="spellEnd"/>
      <w:r w:rsidRPr="00F7127E">
        <w:t xml:space="preserve"> </w:t>
      </w:r>
      <w:proofErr w:type="spellStart"/>
      <w:r w:rsidRPr="00F7127E">
        <w:t>habere</w:t>
      </w:r>
      <w:proofErr w:type="spellEnd"/>
      <w:r w:rsidRPr="00F7127E">
        <w:t xml:space="preserve">, quid </w:t>
      </w:r>
      <w:proofErr w:type="spellStart"/>
      <w:r w:rsidRPr="00F7127E">
        <w:t>sibi</w:t>
      </w:r>
      <w:proofErr w:type="spellEnd"/>
      <w:r w:rsidRPr="00F7127E">
        <w:t xml:space="preserve"> de Domino Deo </w:t>
      </w:r>
      <w:proofErr w:type="spellStart"/>
      <w:r w:rsidRPr="00F7127E">
        <w:t>suo</w:t>
      </w:r>
      <w:proofErr w:type="spellEnd"/>
      <w:r w:rsidRPr="00F7127E">
        <w:t xml:space="preserve"> </w:t>
      </w:r>
      <w:proofErr w:type="spellStart"/>
      <w:r w:rsidRPr="00F7127E">
        <w:t>sit</w:t>
      </w:r>
      <w:proofErr w:type="spellEnd"/>
      <w:r w:rsidRPr="00F7127E">
        <w:t xml:space="preserve"> </w:t>
      </w:r>
      <w:proofErr w:type="spellStart"/>
      <w:r w:rsidRPr="00F7127E">
        <w:t>credendum</w:t>
      </w:r>
      <w:proofErr w:type="spellEnd"/>
      <w:r w:rsidRPr="00F7127E">
        <w:t xml:space="preserve">; </w:t>
      </w:r>
      <w:proofErr w:type="spellStart"/>
      <w:r w:rsidRPr="00F7127E">
        <w:t>secundus</w:t>
      </w:r>
      <w:proofErr w:type="spellEnd"/>
      <w:r w:rsidRPr="00F7127E">
        <w:t xml:space="preserve">, </w:t>
      </w:r>
      <w:proofErr w:type="spellStart"/>
      <w:r w:rsidRPr="00F7127E">
        <w:t>quomodo</w:t>
      </w:r>
      <w:proofErr w:type="spellEnd"/>
      <w:r w:rsidRPr="00F7127E">
        <w:t xml:space="preserve"> de </w:t>
      </w:r>
      <w:proofErr w:type="spellStart"/>
      <w:r w:rsidRPr="00F7127E">
        <w:t>eo</w:t>
      </w:r>
      <w:proofErr w:type="spellEnd"/>
      <w:r w:rsidRPr="00F7127E">
        <w:t xml:space="preserve"> </w:t>
      </w:r>
      <w:proofErr w:type="spellStart"/>
      <w:r w:rsidRPr="00F7127E">
        <w:t>quod</w:t>
      </w:r>
      <w:proofErr w:type="spellEnd"/>
      <w:r w:rsidRPr="00F7127E">
        <w:t xml:space="preserve"> recte </w:t>
      </w:r>
      <w:proofErr w:type="spellStart"/>
      <w:r w:rsidRPr="00F7127E">
        <w:t>creditur</w:t>
      </w:r>
      <w:proofErr w:type="spellEnd"/>
      <w:r w:rsidRPr="00F7127E">
        <w:t xml:space="preserve">, recte </w:t>
      </w:r>
      <w:proofErr w:type="spellStart"/>
      <w:r w:rsidRPr="00F7127E">
        <w:t>nichilominus</w:t>
      </w:r>
      <w:proofErr w:type="spellEnd"/>
      <w:r w:rsidRPr="00F7127E">
        <w:t xml:space="preserve"> </w:t>
      </w:r>
      <w:proofErr w:type="spellStart"/>
      <w:r w:rsidRPr="00F7127E">
        <w:t>ei</w:t>
      </w:r>
      <w:proofErr w:type="spellEnd"/>
      <w:r w:rsidRPr="00F7127E">
        <w:t xml:space="preserve"> </w:t>
      </w:r>
      <w:proofErr w:type="spellStart"/>
      <w:r w:rsidRPr="00F7127E">
        <w:t>cogitandum</w:t>
      </w:r>
      <w:proofErr w:type="spellEnd"/>
      <w:r w:rsidRPr="00F7127E">
        <w:t xml:space="preserve"> </w:t>
      </w:r>
      <w:proofErr w:type="spellStart"/>
      <w:r w:rsidRPr="00F7127E">
        <w:t>sit</w:t>
      </w:r>
      <w:proofErr w:type="spellEnd"/>
      <w:r w:rsidRPr="00F7127E">
        <w:t xml:space="preserve"> et </w:t>
      </w:r>
      <w:proofErr w:type="spellStart"/>
      <w:r w:rsidRPr="00F7127E">
        <w:t>loquendum</w:t>
      </w:r>
      <w:proofErr w:type="spellEnd"/>
      <w:r w:rsidRPr="00F7127E">
        <w:t xml:space="preserve">; </w:t>
      </w:r>
      <w:proofErr w:type="spellStart"/>
      <w:r w:rsidRPr="00F7127E">
        <w:t>tertius</w:t>
      </w:r>
      <w:proofErr w:type="spellEnd"/>
      <w:r w:rsidRPr="00F7127E">
        <w:t xml:space="preserve">, </w:t>
      </w:r>
      <w:proofErr w:type="spellStart"/>
      <w:r w:rsidRPr="00F7127E">
        <w:t>ipsa</w:t>
      </w:r>
      <w:proofErr w:type="spellEnd"/>
      <w:r w:rsidRPr="00F7127E">
        <w:t xml:space="preserve"> </w:t>
      </w:r>
      <w:proofErr w:type="spellStart"/>
      <w:r w:rsidRPr="00F7127E">
        <w:t>iam</w:t>
      </w:r>
      <w:proofErr w:type="spellEnd"/>
      <w:r w:rsidRPr="00F7127E">
        <w:t xml:space="preserve"> </w:t>
      </w:r>
      <w:proofErr w:type="spellStart"/>
      <w:r w:rsidRPr="00F7127E">
        <w:t>rerum</w:t>
      </w:r>
      <w:proofErr w:type="spellEnd"/>
      <w:r w:rsidRPr="00F7127E">
        <w:t xml:space="preserve"> </w:t>
      </w:r>
      <w:proofErr w:type="spellStart"/>
      <w:r w:rsidRPr="00F7127E">
        <w:t>experientia</w:t>
      </w:r>
      <w:proofErr w:type="spellEnd"/>
      <w:r w:rsidRPr="00F7127E">
        <w:t xml:space="preserve"> </w:t>
      </w:r>
      <w:proofErr w:type="spellStart"/>
      <w:r w:rsidRPr="00F7127E">
        <w:t>est</w:t>
      </w:r>
      <w:proofErr w:type="spellEnd"/>
      <w:r w:rsidRPr="00F7127E">
        <w:t xml:space="preserve"> in </w:t>
      </w:r>
      <w:proofErr w:type="spellStart"/>
      <w:r w:rsidRPr="00F7127E">
        <w:t>sentiendo</w:t>
      </w:r>
      <w:proofErr w:type="spellEnd"/>
      <w:r w:rsidRPr="00F7127E">
        <w:t xml:space="preserve"> de Domino in </w:t>
      </w:r>
      <w:proofErr w:type="spellStart"/>
      <w:r w:rsidRPr="00F7127E">
        <w:t>bonitate</w:t>
      </w:r>
      <w:proofErr w:type="spellEnd"/>
      <w:r w:rsidRPr="00F7127E">
        <w:t xml:space="preserve">, </w:t>
      </w:r>
      <w:proofErr w:type="spellStart"/>
      <w:r w:rsidRPr="00F7127E">
        <w:t>sicut</w:t>
      </w:r>
      <w:proofErr w:type="spellEnd"/>
      <w:r w:rsidRPr="00F7127E">
        <w:t xml:space="preserve"> </w:t>
      </w:r>
      <w:proofErr w:type="spellStart"/>
      <w:r w:rsidRPr="00F7127E">
        <w:t>sentiunt</w:t>
      </w:r>
      <w:proofErr w:type="spellEnd"/>
      <w:r w:rsidRPr="00F7127E">
        <w:t xml:space="preserve"> </w:t>
      </w:r>
      <w:proofErr w:type="spellStart"/>
      <w:r w:rsidRPr="00F7127E">
        <w:t>qui</w:t>
      </w:r>
      <w:proofErr w:type="spellEnd"/>
      <w:r w:rsidRPr="00F7127E">
        <w:t xml:space="preserve"> in </w:t>
      </w:r>
      <w:proofErr w:type="spellStart"/>
      <w:r w:rsidRPr="00F7127E">
        <w:t>simplicitate</w:t>
      </w:r>
      <w:proofErr w:type="spellEnd"/>
      <w:r w:rsidRPr="00F7127E">
        <w:t xml:space="preserve"> </w:t>
      </w:r>
      <w:proofErr w:type="spellStart"/>
      <w:r w:rsidRPr="00F7127E">
        <w:t>cordis</w:t>
      </w:r>
      <w:proofErr w:type="spellEnd"/>
      <w:r w:rsidRPr="00F7127E">
        <w:t xml:space="preserve"> </w:t>
      </w:r>
      <w:proofErr w:type="spellStart"/>
      <w:r w:rsidRPr="00F7127E">
        <w:t>quaerunt</w:t>
      </w:r>
      <w:proofErr w:type="spellEnd"/>
      <w:r w:rsidRPr="00F7127E">
        <w:t xml:space="preserve"> </w:t>
      </w:r>
      <w:proofErr w:type="spellStart"/>
      <w:r w:rsidRPr="00F7127E">
        <w:t>illum</w:t>
      </w:r>
      <w:proofErr w:type="spellEnd"/>
      <w:r w:rsidRPr="00F7127E">
        <w:t>.</w:t>
      </w:r>
    </w:p>
    <w:p w:rsidR="00AD5EDB" w:rsidRDefault="00AD5EDB" w:rsidP="00AD5EDB">
      <w:r>
        <w:t xml:space="preserve">En efecto, en este texto, donde Guillermo trata sobre los tres grados de la fe, encontramos la clave para comprender sus tres grandes obras posteriores a la </w:t>
      </w:r>
      <w:proofErr w:type="spellStart"/>
      <w:r>
        <w:rPr>
          <w:i/>
          <w:iCs/>
        </w:rPr>
        <w:t>Disputatio</w:t>
      </w:r>
      <w:proofErr w:type="spellEnd"/>
      <w:r>
        <w:t xml:space="preserve"> y, por ende, el conjunto de su producción teológica anterior:</w:t>
      </w:r>
    </w:p>
    <w:p w:rsidR="00AD5EDB" w:rsidRDefault="00AD5EDB" w:rsidP="00AD5EDB">
      <w:r>
        <w:t>a) El primer grado, aquel que corresponde a la investigación cuidadosa y atenta de lo que debe ser creído (</w:t>
      </w:r>
      <w:r>
        <w:rPr>
          <w:i/>
          <w:iCs/>
        </w:rPr>
        <w:t xml:space="preserve">quid </w:t>
      </w:r>
      <w:proofErr w:type="spellStart"/>
      <w:r>
        <w:rPr>
          <w:i/>
          <w:iCs/>
        </w:rPr>
        <w:t>credendum</w:t>
      </w:r>
      <w:proofErr w:type="spellEnd"/>
      <w:r>
        <w:rPr>
          <w:i/>
          <w:iCs/>
        </w:rPr>
        <w:t xml:space="preserve"> </w:t>
      </w:r>
      <w:proofErr w:type="spellStart"/>
      <w:r>
        <w:rPr>
          <w:i/>
          <w:iCs/>
        </w:rPr>
        <w:t>sit</w:t>
      </w:r>
      <w:proofErr w:type="spellEnd"/>
      <w:r>
        <w:t xml:space="preserve">), Guillermo lo trata sistemáticamente en el </w:t>
      </w:r>
      <w:proofErr w:type="spellStart"/>
      <w:r>
        <w:rPr>
          <w:i/>
          <w:iCs/>
        </w:rPr>
        <w:t>Speculum</w:t>
      </w:r>
      <w:proofErr w:type="spellEnd"/>
      <w:r>
        <w:rPr>
          <w:i/>
          <w:iCs/>
        </w:rPr>
        <w:t xml:space="preserve"> </w:t>
      </w:r>
      <w:proofErr w:type="spellStart"/>
      <w:r>
        <w:rPr>
          <w:i/>
          <w:iCs/>
        </w:rPr>
        <w:t>fidei</w:t>
      </w:r>
      <w:proofErr w:type="spellEnd"/>
      <w:r>
        <w:t xml:space="preserve">. Pero también estaba ya </w:t>
      </w:r>
      <w:r>
        <w:rPr>
          <w:i/>
          <w:iCs/>
        </w:rPr>
        <w:t xml:space="preserve">in </w:t>
      </w:r>
      <w:proofErr w:type="spellStart"/>
      <w:r>
        <w:rPr>
          <w:i/>
          <w:iCs/>
        </w:rPr>
        <w:t>nuce</w:t>
      </w:r>
      <w:proofErr w:type="spellEnd"/>
      <w:r>
        <w:t xml:space="preserve"> en sus obras anteriores, como en el </w:t>
      </w:r>
      <w:r>
        <w:rPr>
          <w:i/>
          <w:iCs/>
        </w:rPr>
        <w:t>De contemplando Deo</w:t>
      </w:r>
      <w:r>
        <w:t xml:space="preserve">, donde la fe, al igual que en el texto citado, es presentada como una ascensión hacia Dios por el amor; o también en la </w:t>
      </w:r>
      <w:proofErr w:type="spellStart"/>
      <w:r>
        <w:rPr>
          <w:i/>
          <w:iCs/>
        </w:rPr>
        <w:t>Expositio</w:t>
      </w:r>
      <w:proofErr w:type="spellEnd"/>
      <w:r>
        <w:rPr>
          <w:i/>
          <w:iCs/>
        </w:rPr>
        <w:t xml:space="preserve"> </w:t>
      </w:r>
      <w:proofErr w:type="spellStart"/>
      <w:r>
        <w:rPr>
          <w:i/>
          <w:iCs/>
        </w:rPr>
        <w:t>super</w:t>
      </w:r>
      <w:proofErr w:type="spellEnd"/>
      <w:r>
        <w:rPr>
          <w:i/>
          <w:iCs/>
        </w:rPr>
        <w:t xml:space="preserve"> </w:t>
      </w:r>
      <w:proofErr w:type="spellStart"/>
      <w:r>
        <w:rPr>
          <w:i/>
          <w:iCs/>
        </w:rPr>
        <w:t>Epistolam</w:t>
      </w:r>
      <w:proofErr w:type="spellEnd"/>
      <w:r>
        <w:rPr>
          <w:i/>
          <w:iCs/>
        </w:rPr>
        <w:t xml:space="preserve"> ad Romanos</w:t>
      </w:r>
      <w:r>
        <w:t>, con su distinción entre el conocimiento natural de Dios y el conocimiento de la Trinidad revelado por Cristo.</w:t>
      </w:r>
    </w:p>
    <w:p w:rsidR="00AD5EDB" w:rsidRDefault="00AD5EDB" w:rsidP="00AD5EDB">
      <w:r>
        <w:t>b) El segundo grado, que se refiere al modo recto de pensar y de hablar sobre Dios (</w:t>
      </w:r>
      <w:proofErr w:type="spellStart"/>
      <w:r>
        <w:rPr>
          <w:i/>
          <w:iCs/>
        </w:rPr>
        <w:t>quomodo</w:t>
      </w:r>
      <w:proofErr w:type="spellEnd"/>
      <w:r>
        <w:rPr>
          <w:i/>
          <w:iCs/>
        </w:rPr>
        <w:t xml:space="preserve"> recte </w:t>
      </w:r>
      <w:proofErr w:type="spellStart"/>
      <w:r>
        <w:rPr>
          <w:i/>
          <w:iCs/>
        </w:rPr>
        <w:t>nichilominus</w:t>
      </w:r>
      <w:proofErr w:type="spellEnd"/>
      <w:r>
        <w:rPr>
          <w:i/>
          <w:iCs/>
        </w:rPr>
        <w:t xml:space="preserve"> </w:t>
      </w:r>
      <w:proofErr w:type="spellStart"/>
      <w:r>
        <w:rPr>
          <w:i/>
          <w:iCs/>
        </w:rPr>
        <w:t>ei</w:t>
      </w:r>
      <w:proofErr w:type="spellEnd"/>
      <w:r>
        <w:rPr>
          <w:i/>
          <w:iCs/>
        </w:rPr>
        <w:t xml:space="preserve"> </w:t>
      </w:r>
      <w:proofErr w:type="spellStart"/>
      <w:r>
        <w:rPr>
          <w:i/>
          <w:iCs/>
        </w:rPr>
        <w:t>cogitandum</w:t>
      </w:r>
      <w:proofErr w:type="spellEnd"/>
      <w:r>
        <w:rPr>
          <w:i/>
          <w:iCs/>
        </w:rPr>
        <w:t xml:space="preserve"> </w:t>
      </w:r>
      <w:proofErr w:type="spellStart"/>
      <w:r>
        <w:rPr>
          <w:i/>
          <w:iCs/>
        </w:rPr>
        <w:t>sit</w:t>
      </w:r>
      <w:proofErr w:type="spellEnd"/>
      <w:r>
        <w:rPr>
          <w:i/>
          <w:iCs/>
        </w:rPr>
        <w:t xml:space="preserve"> et </w:t>
      </w:r>
      <w:proofErr w:type="spellStart"/>
      <w:r>
        <w:rPr>
          <w:i/>
          <w:iCs/>
        </w:rPr>
        <w:t>loquendum</w:t>
      </w:r>
      <w:proofErr w:type="spellEnd"/>
      <w:r>
        <w:t xml:space="preserve">), describe en realidad lo que quiere ser el </w:t>
      </w:r>
      <w:proofErr w:type="spellStart"/>
      <w:r>
        <w:rPr>
          <w:i/>
          <w:iCs/>
        </w:rPr>
        <w:t>Aenigma</w:t>
      </w:r>
      <w:proofErr w:type="spellEnd"/>
      <w:r>
        <w:rPr>
          <w:i/>
          <w:iCs/>
        </w:rPr>
        <w:t xml:space="preserve"> </w:t>
      </w:r>
      <w:proofErr w:type="spellStart"/>
      <w:r>
        <w:rPr>
          <w:i/>
          <w:iCs/>
        </w:rPr>
        <w:t>fidei</w:t>
      </w:r>
      <w:proofErr w:type="spellEnd"/>
      <w:r>
        <w:t xml:space="preserve">, muchas de cuyas preocupaciones ya se habían apuntado en la </w:t>
      </w:r>
      <w:proofErr w:type="spellStart"/>
      <w:r>
        <w:rPr>
          <w:i/>
          <w:iCs/>
        </w:rPr>
        <w:t>Disputatio</w:t>
      </w:r>
      <w:proofErr w:type="spellEnd"/>
      <w:r>
        <w:t xml:space="preserve"> (como la reflexión sobre los nombre divinos).</w:t>
      </w:r>
    </w:p>
    <w:p w:rsidR="00AD5EDB" w:rsidRDefault="00AD5EDB" w:rsidP="00AD5EDB">
      <w:r>
        <w:t>c) El tercer grado, la experiencia de lo creído (</w:t>
      </w:r>
      <w:proofErr w:type="spellStart"/>
      <w:r>
        <w:rPr>
          <w:i/>
          <w:iCs/>
        </w:rPr>
        <w:t>ipsa</w:t>
      </w:r>
      <w:proofErr w:type="spellEnd"/>
      <w:r>
        <w:rPr>
          <w:i/>
          <w:iCs/>
        </w:rPr>
        <w:t xml:space="preserve"> </w:t>
      </w:r>
      <w:proofErr w:type="spellStart"/>
      <w:r>
        <w:rPr>
          <w:i/>
          <w:iCs/>
        </w:rPr>
        <w:t>iam</w:t>
      </w:r>
      <w:proofErr w:type="spellEnd"/>
      <w:r>
        <w:rPr>
          <w:i/>
          <w:iCs/>
        </w:rPr>
        <w:t xml:space="preserve"> </w:t>
      </w:r>
      <w:proofErr w:type="spellStart"/>
      <w:r>
        <w:rPr>
          <w:i/>
          <w:iCs/>
        </w:rPr>
        <w:t>rerum</w:t>
      </w:r>
      <w:proofErr w:type="spellEnd"/>
      <w:r>
        <w:rPr>
          <w:i/>
          <w:iCs/>
        </w:rPr>
        <w:t xml:space="preserve"> </w:t>
      </w:r>
      <w:proofErr w:type="spellStart"/>
      <w:r>
        <w:rPr>
          <w:i/>
          <w:iCs/>
        </w:rPr>
        <w:t>experientia</w:t>
      </w:r>
      <w:proofErr w:type="spellEnd"/>
      <w:r>
        <w:t xml:space="preserve">), corresponde a la </w:t>
      </w:r>
      <w:proofErr w:type="spellStart"/>
      <w:r>
        <w:rPr>
          <w:i/>
          <w:iCs/>
        </w:rPr>
        <w:t>Epistola</w:t>
      </w:r>
      <w:proofErr w:type="spellEnd"/>
      <w:r>
        <w:rPr>
          <w:i/>
          <w:iCs/>
        </w:rPr>
        <w:t xml:space="preserve"> ad </w:t>
      </w:r>
      <w:proofErr w:type="spellStart"/>
      <w:r>
        <w:rPr>
          <w:i/>
          <w:iCs/>
        </w:rPr>
        <w:t>fratres</w:t>
      </w:r>
      <w:proofErr w:type="spellEnd"/>
      <w:r>
        <w:rPr>
          <w:i/>
          <w:iCs/>
        </w:rPr>
        <w:t xml:space="preserve"> de Monte Dei</w:t>
      </w:r>
      <w:r>
        <w:t xml:space="preserve">, pero también a la magnífica </w:t>
      </w:r>
      <w:proofErr w:type="spellStart"/>
      <w:r>
        <w:rPr>
          <w:i/>
          <w:iCs/>
        </w:rPr>
        <w:t>Expositio</w:t>
      </w:r>
      <w:proofErr w:type="spellEnd"/>
      <w:r>
        <w:rPr>
          <w:i/>
          <w:iCs/>
        </w:rPr>
        <w:t xml:space="preserve"> in Cantica </w:t>
      </w:r>
      <w:proofErr w:type="spellStart"/>
      <w:r>
        <w:rPr>
          <w:i/>
          <w:iCs/>
        </w:rPr>
        <w:t>Canticorum</w:t>
      </w:r>
      <w:proofErr w:type="spellEnd"/>
      <w:r>
        <w:t>, donde el culmen de dicha experiencia aparece como la unión mística obrada por el Espíritu Santo en el alma.</w:t>
      </w:r>
    </w:p>
    <w:p w:rsidR="00AD5EDB" w:rsidRDefault="00AD5EDB" w:rsidP="00AD5EDB">
      <w:pPr>
        <w:spacing w:before="120"/>
      </w:pPr>
      <w:r>
        <w:t xml:space="preserve">3. En definitiva, el estudio diacrónico del pensamiento trinitario de Guillermo, nos permite constatar cómo el </w:t>
      </w:r>
      <w:proofErr w:type="spellStart"/>
      <w:r>
        <w:rPr>
          <w:i/>
          <w:iCs/>
        </w:rPr>
        <w:t>Aenigma</w:t>
      </w:r>
      <w:proofErr w:type="spellEnd"/>
      <w:r>
        <w:rPr>
          <w:i/>
          <w:iCs/>
        </w:rPr>
        <w:t xml:space="preserve"> </w:t>
      </w:r>
      <w:proofErr w:type="spellStart"/>
      <w:r>
        <w:rPr>
          <w:i/>
          <w:iCs/>
        </w:rPr>
        <w:t>fidei</w:t>
      </w:r>
      <w:proofErr w:type="spellEnd"/>
      <w:r>
        <w:t xml:space="preserve"> es, en realidad, la clave hermenéutica desde la que se ilumina toda su obra. Con lo cual, la teología trinitaria de nuestro autor destaca no sólo por su gran consistencia y profundidad, sino también por su notable desarrollo y su nada desdeñable </w:t>
      </w:r>
      <w:r>
        <w:lastRenderedPageBreak/>
        <w:t>nivel de sistematización, conseguido en el curso de su existencia como teólogo.</w:t>
      </w:r>
    </w:p>
    <w:p w:rsidR="00AD5EDB" w:rsidRDefault="00AD5EDB" w:rsidP="008C75C4">
      <w:bookmarkStart w:id="26" w:name="_Toc137026767"/>
      <w:r>
        <w:t>Principales contenidos de la teología trinitaria de Guillermo</w:t>
      </w:r>
      <w:bookmarkEnd w:id="26"/>
    </w:p>
    <w:p w:rsidR="00AD5EDB" w:rsidRDefault="00AD5EDB" w:rsidP="00AD5EDB">
      <w:r>
        <w:t>La segunda conclusión se refiere no tanto al conjunto de la teología trinitaria de nuestro autor cuanto a su contenido, a sus temas principales. Éstos podrían resumirse mediante tres expresiones que usa el propio Guillermo.</w:t>
      </w:r>
    </w:p>
    <w:p w:rsidR="00AD5EDB" w:rsidRDefault="00AD5EDB" w:rsidP="008C75C4">
      <w:bookmarkStart w:id="27" w:name="_Toc137026768"/>
      <w:r>
        <w:t xml:space="preserve">«Veritas </w:t>
      </w:r>
      <w:proofErr w:type="spellStart"/>
      <w:r>
        <w:t>Trinitatis</w:t>
      </w:r>
      <w:proofErr w:type="spellEnd"/>
      <w:r>
        <w:t>»</w:t>
      </w:r>
      <w:bookmarkEnd w:id="27"/>
    </w:p>
    <w:p w:rsidR="00AD5EDB" w:rsidRDefault="00AD5EDB" w:rsidP="00AD5EDB">
      <w:r>
        <w:t>En efecto, para Guillermo de Saint-Thierry, el verdadero conocimiento de Dios (</w:t>
      </w:r>
      <w:r>
        <w:rPr>
          <w:i/>
          <w:iCs/>
        </w:rPr>
        <w:t>veritas Dei</w:t>
      </w:r>
      <w:r>
        <w:t>) es mucho más que tener noticia de su existencia. Esto es accesible a la razón humana, mientras que el auténtico conocimiento de Dios pasa por la experiencia de su amor y culmina en la comunión con el Padre y el Hijo en la unidad del Espíritu (</w:t>
      </w:r>
      <w:proofErr w:type="spellStart"/>
      <w:r>
        <w:rPr>
          <w:i/>
          <w:iCs/>
        </w:rPr>
        <w:t>unitas</w:t>
      </w:r>
      <w:proofErr w:type="spellEnd"/>
      <w:r>
        <w:rPr>
          <w:i/>
          <w:iCs/>
        </w:rPr>
        <w:t xml:space="preserve"> </w:t>
      </w:r>
      <w:proofErr w:type="spellStart"/>
      <w:r>
        <w:rPr>
          <w:i/>
          <w:iCs/>
        </w:rPr>
        <w:t>spiritus</w:t>
      </w:r>
      <w:proofErr w:type="spellEnd"/>
      <w:r>
        <w:t xml:space="preserve">). La </w:t>
      </w:r>
      <w:r>
        <w:rPr>
          <w:i/>
          <w:iCs/>
        </w:rPr>
        <w:t>veritas Dei</w:t>
      </w:r>
      <w:r>
        <w:t xml:space="preserve"> es, pues, la </w:t>
      </w:r>
      <w:r>
        <w:rPr>
          <w:i/>
          <w:iCs/>
        </w:rPr>
        <w:t xml:space="preserve">veritas </w:t>
      </w:r>
      <w:proofErr w:type="spellStart"/>
      <w:r>
        <w:rPr>
          <w:i/>
          <w:iCs/>
        </w:rPr>
        <w:t>Trinitatis</w:t>
      </w:r>
      <w:proofErr w:type="spellEnd"/>
      <w:r>
        <w:t>, ya que el Dios único, cuya existencia se apunta ya en la creación y todo hombre presiente de algún modo en su alma, es el Padre, el Hijo y el Espíritu Santo.</w:t>
      </w:r>
    </w:p>
    <w:p w:rsidR="00AD5EDB" w:rsidRDefault="00AD5EDB" w:rsidP="00AD5EDB">
      <w:r>
        <w:t xml:space="preserve">Ahora bien, ¿cómo se puede pensar la verdad de este Dios uno en su esencia y trino en personas? Será preciso comprender, por un lado, la </w:t>
      </w:r>
      <w:r>
        <w:rPr>
          <w:i/>
          <w:iCs/>
        </w:rPr>
        <w:t xml:space="preserve">veritas </w:t>
      </w:r>
      <w:proofErr w:type="spellStart"/>
      <w:r>
        <w:rPr>
          <w:i/>
          <w:iCs/>
        </w:rPr>
        <w:t>personarum</w:t>
      </w:r>
      <w:proofErr w:type="spellEnd"/>
      <w:r>
        <w:t xml:space="preserve"> y, por otro, la </w:t>
      </w:r>
      <w:r>
        <w:rPr>
          <w:i/>
          <w:iCs/>
        </w:rPr>
        <w:t xml:space="preserve">veritas </w:t>
      </w:r>
      <w:proofErr w:type="spellStart"/>
      <w:r>
        <w:rPr>
          <w:i/>
          <w:iCs/>
        </w:rPr>
        <w:t>divinae</w:t>
      </w:r>
      <w:proofErr w:type="spellEnd"/>
      <w:r>
        <w:rPr>
          <w:i/>
          <w:iCs/>
        </w:rPr>
        <w:t xml:space="preserve"> </w:t>
      </w:r>
      <w:proofErr w:type="spellStart"/>
      <w:r>
        <w:rPr>
          <w:i/>
          <w:iCs/>
        </w:rPr>
        <w:t>essentiae</w:t>
      </w:r>
      <w:proofErr w:type="spellEnd"/>
      <w:r>
        <w:t>.</w:t>
      </w:r>
    </w:p>
    <w:p w:rsidR="00AD5EDB" w:rsidRDefault="00AD5EDB" w:rsidP="00AD5EDB">
      <w:pPr>
        <w:spacing w:before="120"/>
      </w:pPr>
      <w:r>
        <w:t>a) </w:t>
      </w:r>
      <w:r>
        <w:rPr>
          <w:i/>
          <w:iCs/>
        </w:rPr>
        <w:t xml:space="preserve">Veritas </w:t>
      </w:r>
      <w:proofErr w:type="spellStart"/>
      <w:r>
        <w:rPr>
          <w:i/>
          <w:iCs/>
        </w:rPr>
        <w:t>personarum</w:t>
      </w:r>
      <w:proofErr w:type="spellEnd"/>
      <w:r>
        <w:t>. El pensamiento de Guillermo acerca de las personas divinas puede resumirse en cuatro afirmaciones fundamentales:</w:t>
      </w:r>
    </w:p>
    <w:p w:rsidR="00AD5EDB" w:rsidRDefault="00AD5EDB" w:rsidP="00AD5EDB">
      <w:r>
        <w:t xml:space="preserve">1) Las personas divinas son </w:t>
      </w:r>
      <w:r>
        <w:rPr>
          <w:i/>
          <w:iCs/>
        </w:rPr>
        <w:t>subsistencias</w:t>
      </w:r>
      <w:r>
        <w:t xml:space="preserve"> o, por decirlo con la terminología griega, </w:t>
      </w:r>
      <w:proofErr w:type="spellStart"/>
      <w:r>
        <w:rPr>
          <w:i/>
          <w:iCs/>
        </w:rPr>
        <w:t>hypostases</w:t>
      </w:r>
      <w:proofErr w:type="spellEnd"/>
      <w:r>
        <w:t xml:space="preserve"> (</w:t>
      </w:r>
      <w:r>
        <w:rPr>
          <w:i/>
          <w:iCs/>
        </w:rPr>
        <w:t>BBC</w:t>
      </w:r>
      <w:r>
        <w:t xml:space="preserve"> VI y </w:t>
      </w:r>
      <w:proofErr w:type="spellStart"/>
      <w:r>
        <w:rPr>
          <w:i/>
          <w:iCs/>
        </w:rPr>
        <w:t>AeFi</w:t>
      </w:r>
      <w:proofErr w:type="spellEnd"/>
      <w:r>
        <w:t> 39).</w:t>
      </w:r>
    </w:p>
    <w:p w:rsidR="00AD5EDB" w:rsidRDefault="00AD5EDB" w:rsidP="00AD5EDB">
      <w:r>
        <w:t>2) Esta subsistencia de las personas se funda en la relación por la cual unas están vueltas hacia las otras (</w:t>
      </w:r>
      <w:proofErr w:type="spellStart"/>
      <w:r>
        <w:rPr>
          <w:i/>
          <w:iCs/>
        </w:rPr>
        <w:t>conversio</w:t>
      </w:r>
      <w:proofErr w:type="spellEnd"/>
      <w:r>
        <w:rPr>
          <w:i/>
          <w:iCs/>
        </w:rPr>
        <w:t xml:space="preserve"> </w:t>
      </w:r>
      <w:proofErr w:type="spellStart"/>
      <w:r>
        <w:rPr>
          <w:i/>
          <w:iCs/>
        </w:rPr>
        <w:t>Patris</w:t>
      </w:r>
      <w:proofErr w:type="spellEnd"/>
      <w:r>
        <w:rPr>
          <w:i/>
          <w:iCs/>
        </w:rPr>
        <w:t xml:space="preserve"> ad </w:t>
      </w:r>
      <w:proofErr w:type="spellStart"/>
      <w:r>
        <w:rPr>
          <w:i/>
          <w:iCs/>
        </w:rPr>
        <w:t>Filium</w:t>
      </w:r>
      <w:proofErr w:type="spellEnd"/>
      <w:r>
        <w:rPr>
          <w:i/>
          <w:iCs/>
        </w:rPr>
        <w:t>…</w:t>
      </w:r>
      <w:r>
        <w:t>) en una dinámica eterna de conocimiento mutuo (</w:t>
      </w:r>
      <w:proofErr w:type="spellStart"/>
      <w:r>
        <w:rPr>
          <w:i/>
          <w:iCs/>
        </w:rPr>
        <w:t>cognitio</w:t>
      </w:r>
      <w:proofErr w:type="spellEnd"/>
      <w:r>
        <w:rPr>
          <w:i/>
          <w:iCs/>
        </w:rPr>
        <w:t xml:space="preserve"> mutua</w:t>
      </w:r>
      <w:r>
        <w:t>) y amor recíproco (</w:t>
      </w:r>
      <w:proofErr w:type="spellStart"/>
      <w:r>
        <w:rPr>
          <w:i/>
          <w:iCs/>
        </w:rPr>
        <w:t>osculum</w:t>
      </w:r>
      <w:proofErr w:type="spellEnd"/>
      <w:r>
        <w:rPr>
          <w:i/>
          <w:iCs/>
        </w:rPr>
        <w:t xml:space="preserve"> et </w:t>
      </w:r>
      <w:proofErr w:type="spellStart"/>
      <w:r>
        <w:rPr>
          <w:i/>
          <w:iCs/>
        </w:rPr>
        <w:t>amplexum</w:t>
      </w:r>
      <w:proofErr w:type="spellEnd"/>
      <w:r>
        <w:t xml:space="preserve">), que las constituye como tales. Así pues, son plenamente subsistentes </w:t>
      </w:r>
      <w:r>
        <w:rPr>
          <w:i/>
          <w:iCs/>
        </w:rPr>
        <w:t>per se</w:t>
      </w:r>
      <w:r>
        <w:t xml:space="preserve">, como nuestro monje afirma en </w:t>
      </w:r>
      <w:r>
        <w:rPr>
          <w:i/>
          <w:iCs/>
        </w:rPr>
        <w:t>BBC </w:t>
      </w:r>
      <w:r>
        <w:t xml:space="preserve">VI. Pero este </w:t>
      </w:r>
      <w:r>
        <w:rPr>
          <w:i/>
          <w:iCs/>
        </w:rPr>
        <w:t>per se</w:t>
      </w:r>
      <w:r>
        <w:t xml:space="preserve"> (que también aparece en </w:t>
      </w:r>
      <w:proofErr w:type="spellStart"/>
      <w:r>
        <w:rPr>
          <w:i/>
          <w:iCs/>
        </w:rPr>
        <w:t>MeOr</w:t>
      </w:r>
      <w:proofErr w:type="spellEnd"/>
      <w:r>
        <w:rPr>
          <w:i/>
          <w:iCs/>
        </w:rPr>
        <w:t> </w:t>
      </w:r>
      <w:r>
        <w:t xml:space="preserve">II 12) no significa que cada una de ellas exista de una manera autónoma, al margen de la relación con las demás, como si de tres seres diversos se tratara, sino todo lo contrario. Significa que la plenitud de su subsistencia consiste —como aparece en </w:t>
      </w:r>
      <w:proofErr w:type="spellStart"/>
      <w:r>
        <w:rPr>
          <w:i/>
          <w:iCs/>
        </w:rPr>
        <w:t>MeOr</w:t>
      </w:r>
      <w:proofErr w:type="spellEnd"/>
      <w:r>
        <w:t> III 8— en un recíproco ver-</w:t>
      </w:r>
      <w:r>
        <w:rPr>
          <w:i/>
          <w:iCs/>
        </w:rPr>
        <w:t>se,</w:t>
      </w:r>
      <w:r>
        <w:t xml:space="preserve"> absolutamente original, que es propio del Padre y del Hijo, y que los une en la voluntad (Espíritu Santo) de revelarse también a los hombres.</w:t>
      </w:r>
    </w:p>
    <w:p w:rsidR="00665820" w:rsidRDefault="00665820" w:rsidP="008C75C4">
      <w:r>
        <w:t>Siglas y Abreviaturas</w:t>
      </w:r>
    </w:p>
    <w:tbl>
      <w:tblPr>
        <w:tblW w:w="0" w:type="auto"/>
        <w:tblCellMar>
          <w:left w:w="70" w:type="dxa"/>
          <w:right w:w="70" w:type="dxa"/>
        </w:tblCellMar>
        <w:tblLook w:val="0000" w:firstRow="0" w:lastRow="0" w:firstColumn="0" w:lastColumn="0" w:noHBand="0" w:noVBand="0"/>
      </w:tblPr>
      <w:tblGrid>
        <w:gridCol w:w="1822"/>
        <w:gridCol w:w="6822"/>
      </w:tblGrid>
      <w:tr w:rsidR="00665820" w:rsidTr="0025326A">
        <w:tc>
          <w:tcPr>
            <w:tcW w:w="1822" w:type="dxa"/>
          </w:tcPr>
          <w:p w:rsidR="00665820" w:rsidRDefault="00665820" w:rsidP="0025326A">
            <w:pPr>
              <w:pStyle w:val="Normal-DespusConclusiones"/>
              <w:ind w:firstLine="0"/>
              <w:rPr>
                <w:i/>
                <w:iCs/>
              </w:rPr>
            </w:pPr>
            <w:proofErr w:type="spellStart"/>
            <w:r>
              <w:rPr>
                <w:i/>
                <w:iCs/>
              </w:rPr>
              <w:t>ACar</w:t>
            </w:r>
            <w:proofErr w:type="spellEnd"/>
          </w:p>
        </w:tc>
        <w:tc>
          <w:tcPr>
            <w:tcW w:w="6822" w:type="dxa"/>
          </w:tcPr>
          <w:p w:rsidR="00665820" w:rsidRDefault="00665820" w:rsidP="0025326A">
            <w:pPr>
              <w:pStyle w:val="Normal-DespusConclusiones"/>
              <w:ind w:firstLine="0"/>
              <w:rPr>
                <w:lang w:val="it-IT"/>
              </w:rPr>
            </w:pPr>
            <w:r>
              <w:rPr>
                <w:i/>
                <w:iCs/>
                <w:lang w:val="it-IT"/>
              </w:rPr>
              <w:t xml:space="preserve">Analecta </w:t>
            </w:r>
            <w:proofErr w:type="spellStart"/>
            <w:r>
              <w:rPr>
                <w:i/>
                <w:iCs/>
                <w:lang w:val="it-IT"/>
              </w:rPr>
              <w:t>Cartusiana</w:t>
            </w:r>
            <w:proofErr w:type="spellEnd"/>
          </w:p>
        </w:tc>
      </w:tr>
      <w:tr w:rsidR="00665820" w:rsidTr="0025326A">
        <w:tc>
          <w:tcPr>
            <w:tcW w:w="1822" w:type="dxa"/>
          </w:tcPr>
          <w:p w:rsidR="00665820" w:rsidRDefault="00665820" w:rsidP="0025326A">
            <w:pPr>
              <w:pStyle w:val="Normal-DespusConclusiones"/>
              <w:ind w:firstLine="0"/>
            </w:pPr>
            <w:proofErr w:type="spellStart"/>
            <w:r>
              <w:rPr>
                <w:i/>
                <w:iCs/>
              </w:rPr>
              <w:t>ACi</w:t>
            </w:r>
            <w:proofErr w:type="spellEnd"/>
          </w:p>
        </w:tc>
        <w:tc>
          <w:tcPr>
            <w:tcW w:w="6822" w:type="dxa"/>
          </w:tcPr>
          <w:p w:rsidR="00665820" w:rsidRDefault="00665820" w:rsidP="0025326A">
            <w:pPr>
              <w:pStyle w:val="Normal-DespusConclusiones"/>
              <w:ind w:firstLine="0"/>
            </w:pPr>
            <w:r>
              <w:rPr>
                <w:i/>
                <w:iCs/>
              </w:rPr>
              <w:t xml:space="preserve">Analecta </w:t>
            </w:r>
            <w:proofErr w:type="spellStart"/>
            <w:r>
              <w:rPr>
                <w:i/>
                <w:iCs/>
              </w:rPr>
              <w:t>Cisterciensia</w:t>
            </w:r>
            <w:proofErr w:type="spellEnd"/>
          </w:p>
        </w:tc>
      </w:tr>
      <w:tr w:rsidR="00665820" w:rsidTr="0025326A">
        <w:tc>
          <w:tcPr>
            <w:tcW w:w="1822" w:type="dxa"/>
          </w:tcPr>
          <w:p w:rsidR="00665820" w:rsidRDefault="00665820" w:rsidP="0025326A">
            <w:pPr>
              <w:ind w:firstLine="0"/>
            </w:pPr>
            <w:proofErr w:type="spellStart"/>
            <w:r>
              <w:rPr>
                <w:i/>
                <w:iCs/>
              </w:rPr>
              <w:t>AeFi</w:t>
            </w:r>
            <w:proofErr w:type="spellEnd"/>
          </w:p>
        </w:tc>
        <w:tc>
          <w:tcPr>
            <w:tcW w:w="6822" w:type="dxa"/>
          </w:tcPr>
          <w:p w:rsidR="00665820" w:rsidRDefault="00665820" w:rsidP="0025326A">
            <w:pPr>
              <w:ind w:firstLine="0"/>
              <w:jc w:val="left"/>
              <w:rPr>
                <w:i/>
                <w:iCs/>
              </w:rPr>
            </w:pPr>
            <w:r>
              <w:rPr>
                <w:smallCaps/>
              </w:rPr>
              <w:t xml:space="preserve">Guillermo de Saint-Thierry, </w:t>
            </w:r>
            <w:proofErr w:type="spellStart"/>
            <w:r>
              <w:rPr>
                <w:i/>
                <w:iCs/>
              </w:rPr>
              <w:t>Aenigma</w:t>
            </w:r>
            <w:proofErr w:type="spellEnd"/>
            <w:r>
              <w:rPr>
                <w:i/>
                <w:iCs/>
              </w:rPr>
              <w:t xml:space="preserve"> </w:t>
            </w:r>
            <w:proofErr w:type="spellStart"/>
            <w:r>
              <w:rPr>
                <w:i/>
                <w:iCs/>
              </w:rPr>
              <w:t>fidei</w:t>
            </w:r>
            <w:proofErr w:type="spellEnd"/>
          </w:p>
        </w:tc>
      </w:tr>
      <w:tr w:rsidR="00665820" w:rsidRPr="00B719A1" w:rsidTr="0025326A">
        <w:tc>
          <w:tcPr>
            <w:tcW w:w="1822" w:type="dxa"/>
          </w:tcPr>
          <w:p w:rsidR="00665820" w:rsidRDefault="00665820" w:rsidP="0025326A">
            <w:pPr>
              <w:pStyle w:val="Normal-DespusConclusiones"/>
              <w:ind w:firstLine="0"/>
            </w:pPr>
            <w:r>
              <w:rPr>
                <w:i/>
                <w:iCs/>
              </w:rPr>
              <w:t>AHDL</w:t>
            </w:r>
          </w:p>
        </w:tc>
        <w:tc>
          <w:tcPr>
            <w:tcW w:w="6822" w:type="dxa"/>
          </w:tcPr>
          <w:p w:rsidR="00665820" w:rsidRPr="00B719A1" w:rsidRDefault="00665820" w:rsidP="0025326A">
            <w:pPr>
              <w:pStyle w:val="Normal-DespusConclusiones"/>
              <w:ind w:firstLine="0"/>
              <w:rPr>
                <w:lang w:val="fr-FR"/>
              </w:rPr>
            </w:pPr>
            <w:r w:rsidRPr="00B719A1">
              <w:rPr>
                <w:i/>
                <w:iCs/>
                <w:lang w:val="fr-FR"/>
              </w:rPr>
              <w:t>Archives d’histoire doctrinale et littéraire du moyen âge</w:t>
            </w:r>
          </w:p>
        </w:tc>
      </w:tr>
      <w:tr w:rsidR="00665820" w:rsidTr="0025326A">
        <w:tc>
          <w:tcPr>
            <w:tcW w:w="1822" w:type="dxa"/>
          </w:tcPr>
          <w:p w:rsidR="00665820" w:rsidRDefault="00665820" w:rsidP="0025326A">
            <w:pPr>
              <w:pStyle w:val="Normal-DespusConclusiones"/>
              <w:ind w:firstLine="0"/>
              <w:rPr>
                <w:i/>
                <w:iCs/>
              </w:rPr>
            </w:pPr>
            <w:r>
              <w:rPr>
                <w:i/>
                <w:iCs/>
              </w:rPr>
              <w:t>al</w:t>
            </w:r>
            <w:r>
              <w:t>.</w:t>
            </w:r>
          </w:p>
        </w:tc>
        <w:tc>
          <w:tcPr>
            <w:tcW w:w="6822" w:type="dxa"/>
          </w:tcPr>
          <w:p w:rsidR="00665820" w:rsidRDefault="00665820" w:rsidP="0025326A">
            <w:pPr>
              <w:pStyle w:val="Normal-DespusConclusiones"/>
              <w:ind w:firstLine="0"/>
            </w:pPr>
            <w:r>
              <w:rPr>
                <w:i/>
                <w:iCs/>
              </w:rPr>
              <w:t>alii</w:t>
            </w:r>
            <w:r>
              <w:t xml:space="preserve"> (y otros)</w:t>
            </w:r>
          </w:p>
        </w:tc>
      </w:tr>
      <w:tr w:rsidR="00665820" w:rsidTr="0025326A">
        <w:tc>
          <w:tcPr>
            <w:tcW w:w="1822" w:type="dxa"/>
          </w:tcPr>
          <w:p w:rsidR="00665820" w:rsidRDefault="00665820" w:rsidP="0025326A">
            <w:pPr>
              <w:pStyle w:val="Normal-DespusConclusiones"/>
              <w:ind w:firstLine="0"/>
              <w:rPr>
                <w:lang w:val="en-GB"/>
              </w:rPr>
            </w:pPr>
            <w:proofErr w:type="spellStart"/>
            <w:r>
              <w:rPr>
                <w:lang w:val="en-GB"/>
              </w:rPr>
              <w:t>AncB</w:t>
            </w:r>
            <w:proofErr w:type="spellEnd"/>
          </w:p>
        </w:tc>
        <w:tc>
          <w:tcPr>
            <w:tcW w:w="6822" w:type="dxa"/>
          </w:tcPr>
          <w:p w:rsidR="00665820" w:rsidRDefault="00665820" w:rsidP="0025326A">
            <w:pPr>
              <w:pStyle w:val="Normal-DespusConclusiones"/>
              <w:ind w:firstLine="0"/>
              <w:rPr>
                <w:lang w:val="en-GB"/>
              </w:rPr>
            </w:pPr>
            <w:r>
              <w:rPr>
                <w:lang w:val="en-GB"/>
              </w:rPr>
              <w:t>The Anchor Bible</w:t>
            </w:r>
          </w:p>
        </w:tc>
      </w:tr>
      <w:tr w:rsidR="00665820" w:rsidTr="0025326A">
        <w:tc>
          <w:tcPr>
            <w:tcW w:w="1822" w:type="dxa"/>
          </w:tcPr>
          <w:p w:rsidR="00665820" w:rsidRDefault="00665820" w:rsidP="0025326A">
            <w:pPr>
              <w:pStyle w:val="Normal-DespusConclusiones"/>
              <w:ind w:firstLine="0"/>
              <w:rPr>
                <w:highlight w:val="cyan"/>
              </w:rPr>
            </w:pPr>
            <w:proofErr w:type="spellStart"/>
            <w:r>
              <w:t>AnGr</w:t>
            </w:r>
            <w:proofErr w:type="spellEnd"/>
          </w:p>
        </w:tc>
        <w:tc>
          <w:tcPr>
            <w:tcW w:w="6822" w:type="dxa"/>
          </w:tcPr>
          <w:p w:rsidR="00665820" w:rsidRDefault="00665820" w:rsidP="0025326A">
            <w:pPr>
              <w:pStyle w:val="Normal-DespusConclusiones"/>
              <w:ind w:firstLine="0"/>
            </w:pPr>
            <w:r>
              <w:t>Analecta Gregoriana</w:t>
            </w:r>
          </w:p>
        </w:tc>
      </w:tr>
      <w:tr w:rsidR="00665820" w:rsidTr="0025326A">
        <w:tc>
          <w:tcPr>
            <w:tcW w:w="1822" w:type="dxa"/>
          </w:tcPr>
          <w:p w:rsidR="00665820" w:rsidRDefault="00665820" w:rsidP="0025326A">
            <w:pPr>
              <w:pStyle w:val="Normal-DespusConclusiones"/>
              <w:ind w:firstLine="0"/>
            </w:pPr>
            <w:r>
              <w:rPr>
                <w:i/>
                <w:iCs/>
              </w:rPr>
              <w:lastRenderedPageBreak/>
              <w:t>ASOC</w:t>
            </w:r>
          </w:p>
        </w:tc>
        <w:tc>
          <w:tcPr>
            <w:tcW w:w="6822" w:type="dxa"/>
          </w:tcPr>
          <w:p w:rsidR="00665820" w:rsidRDefault="00665820" w:rsidP="0025326A">
            <w:pPr>
              <w:pStyle w:val="Normal-DespusConclusiones"/>
              <w:ind w:firstLine="0"/>
            </w:pPr>
            <w:r>
              <w:rPr>
                <w:i/>
                <w:iCs/>
              </w:rPr>
              <w:t xml:space="preserve">Analecta </w:t>
            </w:r>
            <w:proofErr w:type="spellStart"/>
            <w:r>
              <w:rPr>
                <w:i/>
                <w:iCs/>
              </w:rPr>
              <w:t>Sacri</w:t>
            </w:r>
            <w:proofErr w:type="spellEnd"/>
            <w:r>
              <w:rPr>
                <w:i/>
                <w:iCs/>
              </w:rPr>
              <w:t xml:space="preserve"> </w:t>
            </w:r>
            <w:proofErr w:type="spellStart"/>
            <w:r>
              <w:rPr>
                <w:i/>
                <w:iCs/>
              </w:rPr>
              <w:t>Ordinis</w:t>
            </w:r>
            <w:proofErr w:type="spellEnd"/>
            <w:r>
              <w:rPr>
                <w:i/>
                <w:iCs/>
              </w:rPr>
              <w:t xml:space="preserve"> </w:t>
            </w:r>
            <w:proofErr w:type="spellStart"/>
            <w:r>
              <w:rPr>
                <w:i/>
                <w:iCs/>
              </w:rPr>
              <w:t>Cisterciensis</w:t>
            </w:r>
            <w:proofErr w:type="spellEnd"/>
          </w:p>
        </w:tc>
      </w:tr>
      <w:tr w:rsidR="00665820" w:rsidTr="0025326A">
        <w:tc>
          <w:tcPr>
            <w:tcW w:w="1822" w:type="dxa"/>
          </w:tcPr>
          <w:p w:rsidR="00665820" w:rsidRDefault="00665820" w:rsidP="0025326A">
            <w:pPr>
              <w:pStyle w:val="Normal-DespusConclusiones"/>
              <w:ind w:firstLine="0"/>
              <w:rPr>
                <w:i/>
                <w:iCs/>
                <w:lang w:val="fr-FR"/>
              </w:rPr>
            </w:pPr>
            <w:proofErr w:type="spellStart"/>
            <w:r>
              <w:rPr>
                <w:i/>
                <w:iCs/>
                <w:lang w:val="fr-FR"/>
              </w:rPr>
              <w:t>Aug</w:t>
            </w:r>
            <w:proofErr w:type="spellEnd"/>
            <w:r>
              <w:rPr>
                <w:i/>
                <w:iCs/>
                <w:lang w:val="fr-FR"/>
              </w:rPr>
              <w:t>.</w:t>
            </w:r>
          </w:p>
        </w:tc>
        <w:tc>
          <w:tcPr>
            <w:tcW w:w="6822" w:type="dxa"/>
          </w:tcPr>
          <w:p w:rsidR="00665820" w:rsidRDefault="00665820" w:rsidP="0025326A">
            <w:pPr>
              <w:pStyle w:val="Normal-DespusConclusiones"/>
              <w:ind w:firstLine="0"/>
              <w:rPr>
                <w:lang w:val="fr-FR"/>
              </w:rPr>
            </w:pPr>
            <w:proofErr w:type="spellStart"/>
            <w:r>
              <w:rPr>
                <w:i/>
                <w:iCs/>
                <w:lang w:val="fr-FR"/>
              </w:rPr>
              <w:t>Augustinianum</w:t>
            </w:r>
            <w:proofErr w:type="spellEnd"/>
          </w:p>
        </w:tc>
      </w:tr>
      <w:tr w:rsidR="00665820" w:rsidTr="0025326A">
        <w:tc>
          <w:tcPr>
            <w:tcW w:w="1822" w:type="dxa"/>
          </w:tcPr>
          <w:p w:rsidR="00665820" w:rsidRDefault="00665820" w:rsidP="0025326A">
            <w:pPr>
              <w:pStyle w:val="Normal-DespusConclusiones"/>
              <w:ind w:firstLine="0"/>
              <w:rPr>
                <w:lang w:val="en-GB"/>
              </w:rPr>
            </w:pPr>
            <w:r>
              <w:rPr>
                <w:lang w:val="en-GB"/>
              </w:rPr>
              <w:t>BAC</w:t>
            </w:r>
          </w:p>
        </w:tc>
        <w:tc>
          <w:tcPr>
            <w:tcW w:w="6822" w:type="dxa"/>
          </w:tcPr>
          <w:p w:rsidR="00665820" w:rsidRDefault="00665820" w:rsidP="0025326A">
            <w:pPr>
              <w:pStyle w:val="Normal-DespusConclusiones"/>
              <w:ind w:firstLine="0"/>
              <w:rPr>
                <w:i/>
                <w:iCs/>
              </w:rPr>
            </w:pPr>
            <w:r>
              <w:t>Biblioteca de Autores Cristianos</w:t>
            </w:r>
          </w:p>
        </w:tc>
      </w:tr>
      <w:tr w:rsidR="00665820" w:rsidRPr="007F0091" w:rsidTr="0025326A">
        <w:tc>
          <w:tcPr>
            <w:tcW w:w="1822" w:type="dxa"/>
          </w:tcPr>
          <w:p w:rsidR="00665820" w:rsidRDefault="00665820" w:rsidP="0025326A">
            <w:pPr>
              <w:ind w:firstLine="0"/>
              <w:rPr>
                <w:i/>
                <w:iCs/>
                <w:lang w:val="en-GB"/>
              </w:rPr>
            </w:pPr>
            <w:r>
              <w:rPr>
                <w:i/>
                <w:iCs/>
                <w:lang w:val="en-GB"/>
              </w:rPr>
              <w:t>BCC</w:t>
            </w:r>
          </w:p>
        </w:tc>
        <w:tc>
          <w:tcPr>
            <w:tcW w:w="6822" w:type="dxa"/>
          </w:tcPr>
          <w:p w:rsidR="00665820" w:rsidRDefault="00665820" w:rsidP="0025326A">
            <w:pPr>
              <w:ind w:firstLine="0"/>
              <w:jc w:val="left"/>
              <w:rPr>
                <w:lang w:val="en-GB"/>
              </w:rPr>
            </w:pPr>
            <w:r>
              <w:rPr>
                <w:smallCaps/>
                <w:lang w:val="en-GB"/>
              </w:rPr>
              <w:t xml:space="preserve">Guillermo de Saint-Thierry, </w:t>
            </w:r>
            <w:r>
              <w:rPr>
                <w:i/>
                <w:iCs/>
                <w:lang w:val="en-GB"/>
              </w:rPr>
              <w:t xml:space="preserve">Brevis </w:t>
            </w:r>
            <w:proofErr w:type="spellStart"/>
            <w:r>
              <w:rPr>
                <w:i/>
                <w:iCs/>
                <w:lang w:val="en-GB"/>
              </w:rPr>
              <w:t>Commentatio</w:t>
            </w:r>
            <w:proofErr w:type="spellEnd"/>
            <w:r>
              <w:rPr>
                <w:i/>
                <w:iCs/>
                <w:lang w:val="en-GB"/>
              </w:rPr>
              <w:t xml:space="preserve"> in </w:t>
            </w:r>
            <w:proofErr w:type="spellStart"/>
            <w:r>
              <w:rPr>
                <w:i/>
                <w:iCs/>
                <w:lang w:val="en-GB"/>
              </w:rPr>
              <w:t>Cantica</w:t>
            </w:r>
            <w:proofErr w:type="spellEnd"/>
          </w:p>
        </w:tc>
      </w:tr>
      <w:tr w:rsidR="00665820" w:rsidTr="0025326A">
        <w:tc>
          <w:tcPr>
            <w:tcW w:w="1822" w:type="dxa"/>
          </w:tcPr>
          <w:p w:rsidR="00665820" w:rsidRDefault="00665820" w:rsidP="0025326A">
            <w:pPr>
              <w:pStyle w:val="Normal-DespusConclusiones"/>
              <w:ind w:firstLine="0"/>
            </w:pPr>
            <w:r>
              <w:t>BCM</w:t>
            </w:r>
          </w:p>
        </w:tc>
        <w:tc>
          <w:tcPr>
            <w:tcW w:w="6822" w:type="dxa"/>
          </w:tcPr>
          <w:p w:rsidR="00665820" w:rsidRDefault="00665820" w:rsidP="0025326A">
            <w:pPr>
              <w:pStyle w:val="Normal-DespusConclusiones"/>
              <w:ind w:firstLine="0"/>
            </w:pPr>
            <w:r>
              <w:t xml:space="preserve">Biblioteca di Cultura </w:t>
            </w:r>
            <w:proofErr w:type="spellStart"/>
            <w:r>
              <w:t>Medievale</w:t>
            </w:r>
            <w:proofErr w:type="spellEnd"/>
          </w:p>
        </w:tc>
      </w:tr>
      <w:tr w:rsidR="00665820" w:rsidTr="0025326A">
        <w:tc>
          <w:tcPr>
            <w:tcW w:w="1822" w:type="dxa"/>
          </w:tcPr>
          <w:p w:rsidR="00665820" w:rsidRDefault="00665820" w:rsidP="0025326A">
            <w:pPr>
              <w:pStyle w:val="Normal-DespusConclusiones"/>
              <w:ind w:firstLine="0"/>
            </w:pPr>
            <w:r>
              <w:t>BEB</w:t>
            </w:r>
          </w:p>
        </w:tc>
        <w:tc>
          <w:tcPr>
            <w:tcW w:w="6822" w:type="dxa"/>
          </w:tcPr>
          <w:p w:rsidR="00665820" w:rsidRDefault="00665820" w:rsidP="0025326A">
            <w:pPr>
              <w:pStyle w:val="Normal-DespusConclusiones"/>
              <w:ind w:firstLine="0"/>
            </w:pPr>
            <w:r>
              <w:t>Biblioteca de Estudios Bíblicos</w:t>
            </w:r>
          </w:p>
        </w:tc>
      </w:tr>
      <w:tr w:rsidR="00665820" w:rsidTr="0025326A">
        <w:tc>
          <w:tcPr>
            <w:tcW w:w="1822" w:type="dxa"/>
          </w:tcPr>
          <w:p w:rsidR="00665820" w:rsidRDefault="00665820" w:rsidP="0025326A">
            <w:pPr>
              <w:pStyle w:val="Normal-DespusConclusiones"/>
              <w:ind w:firstLine="0"/>
              <w:rPr>
                <w:lang w:val="en-GB"/>
              </w:rPr>
            </w:pPr>
            <w:proofErr w:type="spellStart"/>
            <w:r>
              <w:rPr>
                <w:lang w:val="en-GB"/>
              </w:rPr>
              <w:t>BGPhMA</w:t>
            </w:r>
            <w:proofErr w:type="spellEnd"/>
          </w:p>
        </w:tc>
        <w:tc>
          <w:tcPr>
            <w:tcW w:w="6822" w:type="dxa"/>
          </w:tcPr>
          <w:p w:rsidR="00665820" w:rsidRDefault="00665820" w:rsidP="0025326A">
            <w:pPr>
              <w:pStyle w:val="Normal-DespusConclusiones"/>
              <w:ind w:firstLine="0"/>
              <w:rPr>
                <w:lang w:val="en-GB"/>
              </w:rPr>
            </w:pPr>
            <w:proofErr w:type="spellStart"/>
            <w:r>
              <w:rPr>
                <w:lang w:val="en-GB"/>
              </w:rPr>
              <w:t>Beiträge</w:t>
            </w:r>
            <w:proofErr w:type="spellEnd"/>
            <w:r>
              <w:rPr>
                <w:lang w:val="en-GB"/>
              </w:rPr>
              <w:t xml:space="preserve"> </w:t>
            </w:r>
            <w:proofErr w:type="spellStart"/>
            <w:r>
              <w:rPr>
                <w:lang w:val="en-GB"/>
              </w:rPr>
              <w:t>zur</w:t>
            </w:r>
            <w:proofErr w:type="spellEnd"/>
            <w:r>
              <w:rPr>
                <w:lang w:val="en-GB"/>
              </w:rPr>
              <w:t xml:space="preserve"> </w:t>
            </w:r>
            <w:proofErr w:type="spellStart"/>
            <w:r>
              <w:rPr>
                <w:lang w:val="en-GB"/>
              </w:rPr>
              <w:t>Geschichte</w:t>
            </w:r>
            <w:proofErr w:type="spellEnd"/>
            <w:r>
              <w:rPr>
                <w:lang w:val="en-GB"/>
              </w:rPr>
              <w:t xml:space="preserve"> der Philosophie und </w:t>
            </w:r>
            <w:proofErr w:type="spellStart"/>
            <w:r>
              <w:rPr>
                <w:lang w:val="en-GB"/>
              </w:rPr>
              <w:t>Theologie</w:t>
            </w:r>
            <w:proofErr w:type="spellEnd"/>
            <w:r>
              <w:rPr>
                <w:lang w:val="en-GB"/>
              </w:rPr>
              <w:t xml:space="preserve"> des </w:t>
            </w:r>
            <w:proofErr w:type="spellStart"/>
            <w:r>
              <w:rPr>
                <w:lang w:val="en-GB"/>
              </w:rPr>
              <w:t>Mittelalters</w:t>
            </w:r>
            <w:proofErr w:type="spellEnd"/>
            <w:r>
              <w:rPr>
                <w:lang w:val="en-GB"/>
              </w:rPr>
              <w:t xml:space="preserve">. </w:t>
            </w:r>
            <w:proofErr w:type="spellStart"/>
            <w:r>
              <w:rPr>
                <w:lang w:val="en-GB"/>
              </w:rPr>
              <w:t>Texte</w:t>
            </w:r>
            <w:proofErr w:type="spellEnd"/>
            <w:r>
              <w:rPr>
                <w:lang w:val="en-GB"/>
              </w:rPr>
              <w:t xml:space="preserve"> und </w:t>
            </w:r>
            <w:proofErr w:type="spellStart"/>
            <w:r>
              <w:rPr>
                <w:lang w:val="en-GB"/>
              </w:rPr>
              <w:t>Untersuchungen</w:t>
            </w:r>
            <w:proofErr w:type="spellEnd"/>
          </w:p>
        </w:tc>
      </w:tr>
      <w:tr w:rsidR="00665820" w:rsidTr="0025326A">
        <w:tc>
          <w:tcPr>
            <w:tcW w:w="1822" w:type="dxa"/>
          </w:tcPr>
          <w:p w:rsidR="00665820" w:rsidRDefault="00665820" w:rsidP="0025326A">
            <w:pPr>
              <w:pStyle w:val="Normal-DespusConclusiones"/>
              <w:ind w:firstLine="0"/>
            </w:pPr>
            <w:r>
              <w:t>BH</w:t>
            </w:r>
          </w:p>
        </w:tc>
        <w:tc>
          <w:tcPr>
            <w:tcW w:w="6822" w:type="dxa"/>
          </w:tcPr>
          <w:p w:rsidR="00665820" w:rsidRDefault="00665820" w:rsidP="0025326A">
            <w:pPr>
              <w:pStyle w:val="Normal-DespusConclusiones"/>
              <w:ind w:firstLine="0"/>
              <w:rPr>
                <w:i/>
                <w:iCs/>
              </w:rPr>
            </w:pPr>
            <w:r>
              <w:rPr>
                <w:lang w:val="fr-FR"/>
              </w:rPr>
              <w:t>Bibliothèque historique</w:t>
            </w:r>
          </w:p>
        </w:tc>
      </w:tr>
      <w:tr w:rsidR="00665820" w:rsidTr="0025326A">
        <w:tc>
          <w:tcPr>
            <w:tcW w:w="1822" w:type="dxa"/>
          </w:tcPr>
          <w:p w:rsidR="00665820" w:rsidRDefault="00665820" w:rsidP="0025326A">
            <w:pPr>
              <w:pStyle w:val="Normal-DespusConclusiones"/>
              <w:ind w:firstLine="0"/>
            </w:pPr>
            <w:proofErr w:type="spellStart"/>
            <w:r>
              <w:t>BHer.FT</w:t>
            </w:r>
            <w:proofErr w:type="spellEnd"/>
          </w:p>
        </w:tc>
        <w:tc>
          <w:tcPr>
            <w:tcW w:w="6822" w:type="dxa"/>
          </w:tcPr>
          <w:p w:rsidR="00665820" w:rsidRDefault="00665820" w:rsidP="0025326A">
            <w:pPr>
              <w:pStyle w:val="Normal-DespusConclusiones"/>
              <w:ind w:firstLine="0"/>
              <w:rPr>
                <w:i/>
                <w:iCs/>
              </w:rPr>
            </w:pPr>
            <w:r>
              <w:t>Biblioteca Herder. Sección de filosofía y teología</w:t>
            </w:r>
          </w:p>
        </w:tc>
      </w:tr>
      <w:tr w:rsidR="00665820" w:rsidTr="0025326A">
        <w:tc>
          <w:tcPr>
            <w:tcW w:w="1822" w:type="dxa"/>
          </w:tcPr>
          <w:p w:rsidR="00665820" w:rsidRDefault="00665820" w:rsidP="0025326A">
            <w:pPr>
              <w:pStyle w:val="Normal-DespusConclusiones"/>
              <w:ind w:firstLine="0"/>
            </w:pPr>
            <w:r>
              <w:t>BHer.SE</w:t>
            </w:r>
          </w:p>
        </w:tc>
        <w:tc>
          <w:tcPr>
            <w:tcW w:w="6822" w:type="dxa"/>
          </w:tcPr>
          <w:p w:rsidR="00665820" w:rsidRDefault="00665820" w:rsidP="0025326A">
            <w:pPr>
              <w:pStyle w:val="Normal-DespusConclusiones"/>
              <w:ind w:firstLine="0"/>
              <w:rPr>
                <w:i/>
                <w:iCs/>
              </w:rPr>
            </w:pPr>
            <w:r>
              <w:t>Biblioteca Herder. Sección Sagrada Escritura</w:t>
            </w:r>
          </w:p>
        </w:tc>
      </w:tr>
      <w:tr w:rsidR="00665820" w:rsidTr="0025326A">
        <w:tc>
          <w:tcPr>
            <w:tcW w:w="1822" w:type="dxa"/>
          </w:tcPr>
          <w:p w:rsidR="00665820" w:rsidRDefault="00665820" w:rsidP="0025326A">
            <w:pPr>
              <w:pStyle w:val="Normal-DespusConclusiones"/>
              <w:ind w:firstLine="0"/>
              <w:rPr>
                <w:lang w:val="en-GB"/>
              </w:rPr>
            </w:pPr>
            <w:proofErr w:type="spellStart"/>
            <w:r>
              <w:rPr>
                <w:lang w:val="en-GB"/>
              </w:rPr>
              <w:t>BiblThom</w:t>
            </w:r>
            <w:proofErr w:type="spellEnd"/>
          </w:p>
        </w:tc>
        <w:tc>
          <w:tcPr>
            <w:tcW w:w="6822" w:type="dxa"/>
          </w:tcPr>
          <w:p w:rsidR="00665820" w:rsidRDefault="00665820" w:rsidP="0025326A">
            <w:pPr>
              <w:pStyle w:val="Normal-DespusConclusiones"/>
              <w:ind w:firstLine="0"/>
              <w:rPr>
                <w:i/>
                <w:iCs/>
                <w:lang w:val="en-GB"/>
              </w:rPr>
            </w:pPr>
            <w:proofErr w:type="spellStart"/>
            <w:r>
              <w:rPr>
                <w:iCs/>
                <w:lang w:val="en-GB"/>
              </w:rPr>
              <w:t>Bibliothèque</w:t>
            </w:r>
            <w:proofErr w:type="spellEnd"/>
            <w:r>
              <w:rPr>
                <w:iCs/>
                <w:lang w:val="en-GB"/>
              </w:rPr>
              <w:t xml:space="preserve"> </w:t>
            </w:r>
            <w:proofErr w:type="spellStart"/>
            <w:r>
              <w:rPr>
                <w:iCs/>
                <w:lang w:val="en-GB"/>
              </w:rPr>
              <w:t>thomisthe</w:t>
            </w:r>
            <w:proofErr w:type="spellEnd"/>
          </w:p>
        </w:tc>
      </w:tr>
      <w:tr w:rsidR="00665820" w:rsidTr="0025326A">
        <w:tc>
          <w:tcPr>
            <w:tcW w:w="1822" w:type="dxa"/>
          </w:tcPr>
          <w:p w:rsidR="00665820" w:rsidRDefault="00665820" w:rsidP="0025326A">
            <w:pPr>
              <w:pStyle w:val="Normal-DespusConclusiones"/>
              <w:ind w:firstLine="0"/>
              <w:rPr>
                <w:lang w:val="en-GB"/>
              </w:rPr>
            </w:pPr>
            <w:proofErr w:type="spellStart"/>
            <w:r>
              <w:rPr>
                <w:i/>
                <w:iCs/>
                <w:lang w:val="en-GB"/>
              </w:rPr>
              <w:t>BPhM</w:t>
            </w:r>
            <w:proofErr w:type="spellEnd"/>
          </w:p>
        </w:tc>
        <w:tc>
          <w:tcPr>
            <w:tcW w:w="6822" w:type="dxa"/>
          </w:tcPr>
          <w:p w:rsidR="00665820" w:rsidRDefault="00665820" w:rsidP="0025326A">
            <w:pPr>
              <w:pStyle w:val="Normal-DespusConclusiones"/>
              <w:ind w:firstLine="0"/>
              <w:rPr>
                <w:lang w:val="en-GB"/>
              </w:rPr>
            </w:pPr>
            <w:r>
              <w:rPr>
                <w:i/>
                <w:iCs/>
                <w:lang w:val="en-GB"/>
              </w:rPr>
              <w:t xml:space="preserve">Bulletin de </w:t>
            </w:r>
            <w:proofErr w:type="spellStart"/>
            <w:r>
              <w:rPr>
                <w:i/>
                <w:iCs/>
                <w:lang w:val="en-GB"/>
              </w:rPr>
              <w:t>philosophie</w:t>
            </w:r>
            <w:proofErr w:type="spellEnd"/>
            <w:r>
              <w:rPr>
                <w:i/>
                <w:iCs/>
                <w:lang w:val="en-GB"/>
              </w:rPr>
              <w:t xml:space="preserve"> </w:t>
            </w:r>
            <w:proofErr w:type="spellStart"/>
            <w:r>
              <w:rPr>
                <w:i/>
                <w:iCs/>
                <w:lang w:val="en-GB"/>
              </w:rPr>
              <w:t>médiévale</w:t>
            </w:r>
            <w:proofErr w:type="spellEnd"/>
          </w:p>
        </w:tc>
      </w:tr>
      <w:tr w:rsidR="00665820" w:rsidTr="0025326A">
        <w:tc>
          <w:tcPr>
            <w:tcW w:w="1822" w:type="dxa"/>
          </w:tcPr>
          <w:p w:rsidR="00665820" w:rsidRDefault="00665820" w:rsidP="0025326A">
            <w:pPr>
              <w:pStyle w:val="Normal-DespusConclusiones"/>
              <w:ind w:firstLine="0"/>
            </w:pPr>
            <w:r>
              <w:t>cap.</w:t>
            </w:r>
          </w:p>
        </w:tc>
        <w:tc>
          <w:tcPr>
            <w:tcW w:w="6822" w:type="dxa"/>
          </w:tcPr>
          <w:p w:rsidR="00665820" w:rsidRDefault="00665820" w:rsidP="0025326A">
            <w:pPr>
              <w:pStyle w:val="Normal-DespusConclusiones"/>
              <w:ind w:firstLine="0"/>
            </w:pPr>
            <w:r>
              <w:t>capítulo/capítulos</w:t>
            </w:r>
          </w:p>
        </w:tc>
      </w:tr>
      <w:tr w:rsidR="00665820" w:rsidTr="0025326A">
        <w:tc>
          <w:tcPr>
            <w:tcW w:w="1822" w:type="dxa"/>
          </w:tcPr>
          <w:p w:rsidR="00665820" w:rsidRDefault="00665820" w:rsidP="0025326A">
            <w:pPr>
              <w:pStyle w:val="Normal-DespusConclusiones"/>
              <w:ind w:firstLine="0"/>
              <w:rPr>
                <w:lang w:val="en-GB"/>
              </w:rPr>
            </w:pPr>
            <w:r>
              <w:rPr>
                <w:lang w:val="en-GB"/>
              </w:rPr>
              <w:t>CCCM</w:t>
            </w:r>
          </w:p>
        </w:tc>
        <w:tc>
          <w:tcPr>
            <w:tcW w:w="6822" w:type="dxa"/>
          </w:tcPr>
          <w:p w:rsidR="00665820" w:rsidRDefault="00665820" w:rsidP="0025326A">
            <w:pPr>
              <w:pStyle w:val="Normal-DespusConclusiones"/>
              <w:ind w:firstLine="0"/>
            </w:pPr>
            <w:r>
              <w:rPr>
                <w:lang w:val="en-GB"/>
              </w:rPr>
              <w:t xml:space="preserve">Corpus </w:t>
            </w:r>
            <w:proofErr w:type="spellStart"/>
            <w:r>
              <w:rPr>
                <w:lang w:val="en-GB"/>
              </w:rPr>
              <w:t>Christianorum</w:t>
            </w:r>
            <w:proofErr w:type="spellEnd"/>
            <w:r>
              <w:rPr>
                <w:lang w:val="en-GB"/>
              </w:rPr>
              <w:t xml:space="preserve">. </w:t>
            </w:r>
            <w:proofErr w:type="spellStart"/>
            <w:r>
              <w:t>Continuatio</w:t>
            </w:r>
            <w:proofErr w:type="spellEnd"/>
            <w:r>
              <w:t xml:space="preserve"> </w:t>
            </w:r>
            <w:proofErr w:type="spellStart"/>
            <w:r>
              <w:t>Mediaevalis</w:t>
            </w:r>
            <w:proofErr w:type="spellEnd"/>
          </w:p>
        </w:tc>
      </w:tr>
    </w:tbl>
    <w:p w:rsidR="00AD5EDB" w:rsidRDefault="00AD5EDB" w:rsidP="008C75C4">
      <w:bookmarkStart w:id="28" w:name="_Toc137026773"/>
      <w:r>
        <w:t>Bibliografía</w:t>
      </w:r>
      <w:bookmarkEnd w:id="28"/>
    </w:p>
    <w:p w:rsidR="00AD5EDB" w:rsidRDefault="00AD5EDB" w:rsidP="008C75C4">
      <w:bookmarkStart w:id="29" w:name="_Toc137026774"/>
      <w:r>
        <w:t>Fuentes</w:t>
      </w:r>
      <w:bookmarkEnd w:id="29"/>
    </w:p>
    <w:p w:rsidR="00AD5EDB" w:rsidRDefault="00AD5EDB" w:rsidP="008C75C4">
      <w:bookmarkStart w:id="30" w:name="_Toc137026775"/>
      <w:r>
        <w:t>Obras de Guillermo de Saint-Thierry</w:t>
      </w:r>
      <w:r>
        <w:rPr>
          <w:rStyle w:val="Refdenotaalpie"/>
          <w:i/>
          <w:iCs/>
        </w:rPr>
        <w:footnoteReference w:id="16"/>
      </w:r>
      <w:bookmarkEnd w:id="30"/>
    </w:p>
    <w:p w:rsidR="00AD5EDB" w:rsidRDefault="00AD5EDB" w:rsidP="008C75C4">
      <w:pPr>
        <w:rPr>
          <w:smallCaps/>
        </w:rPr>
      </w:pPr>
      <w:r>
        <w:t xml:space="preserve">De contemplando Deo, en </w:t>
      </w:r>
      <w:r>
        <w:rPr>
          <w:smallCaps/>
        </w:rPr>
        <w:t>P. </w:t>
      </w:r>
      <w:proofErr w:type="spellStart"/>
      <w:r>
        <w:rPr>
          <w:smallCaps/>
        </w:rPr>
        <w:t>Verdeyen</w:t>
      </w:r>
      <w:proofErr w:type="spellEnd"/>
      <w:r>
        <w:t xml:space="preserve">, ed., </w:t>
      </w:r>
      <w:proofErr w:type="spellStart"/>
      <w:r>
        <w:t>Guillelmi</w:t>
      </w:r>
      <w:proofErr w:type="spellEnd"/>
      <w:r>
        <w:t xml:space="preserve"> a </w:t>
      </w:r>
      <w:proofErr w:type="spellStart"/>
      <w:r>
        <w:t>sancto</w:t>
      </w:r>
      <w:proofErr w:type="spellEnd"/>
      <w:r>
        <w:t xml:space="preserve"> </w:t>
      </w:r>
      <w:proofErr w:type="spellStart"/>
      <w:r>
        <w:t>Theodorico</w:t>
      </w:r>
      <w:proofErr w:type="spellEnd"/>
      <w:r>
        <w:t xml:space="preserve"> Opera </w:t>
      </w:r>
      <w:proofErr w:type="spellStart"/>
      <w:r>
        <w:t>omnia</w:t>
      </w:r>
      <w:proofErr w:type="spellEnd"/>
      <w:r>
        <w:t xml:space="preserve">. III. Opera </w:t>
      </w:r>
      <w:proofErr w:type="spellStart"/>
      <w:r>
        <w:t>didactica</w:t>
      </w:r>
      <w:proofErr w:type="spellEnd"/>
      <w:r>
        <w:t xml:space="preserve"> et </w:t>
      </w:r>
      <w:proofErr w:type="spellStart"/>
      <w:r>
        <w:t>spiritualia</w:t>
      </w:r>
      <w:proofErr w:type="spellEnd"/>
      <w:r>
        <w:t xml:space="preserve">, CCCM 88, </w:t>
      </w:r>
      <w:proofErr w:type="spellStart"/>
      <w:r>
        <w:t>Turnhout</w:t>
      </w:r>
      <w:proofErr w:type="spellEnd"/>
      <w:r>
        <w:t xml:space="preserve"> 2003, 151-169.</w:t>
      </w:r>
    </w:p>
    <w:p w:rsidR="00AD5EDB" w:rsidRPr="00FC5068" w:rsidRDefault="00AD5EDB" w:rsidP="008C75C4">
      <w:pPr>
        <w:rPr>
          <w:lang w:val="it-IT"/>
        </w:rPr>
      </w:pPr>
      <w:r w:rsidRPr="00FC5068">
        <w:rPr>
          <w:lang w:val="it-IT"/>
        </w:rPr>
        <w:t xml:space="preserve">La contemplazione di Dio, </w:t>
      </w:r>
      <w:r w:rsidRPr="00FC5068">
        <w:rPr>
          <w:smallCaps/>
          <w:lang w:val="it-IT"/>
        </w:rPr>
        <w:t>M. </w:t>
      </w:r>
      <w:proofErr w:type="spellStart"/>
      <w:r w:rsidRPr="00FC5068">
        <w:rPr>
          <w:smallCaps/>
          <w:lang w:val="it-IT"/>
        </w:rPr>
        <w:t>Pangallo</w:t>
      </w:r>
      <w:proofErr w:type="spellEnd"/>
      <w:r w:rsidRPr="00FC5068">
        <w:rPr>
          <w:lang w:val="it-IT"/>
        </w:rPr>
        <w:t>, ed., en Opere, III, FCTM 17, Roma 1998, 10-46.</w:t>
      </w:r>
    </w:p>
    <w:p w:rsidR="00665820" w:rsidRDefault="00665820" w:rsidP="008C75C4">
      <w:bookmarkStart w:id="31" w:name="_Toc137026776"/>
      <w:r>
        <w:t>Obras de autores antiguos y medievales</w:t>
      </w:r>
      <w:bookmarkEnd w:id="31"/>
    </w:p>
    <w:p w:rsidR="00665820" w:rsidRPr="00B719A1" w:rsidRDefault="00665820" w:rsidP="008C75C4">
      <w:pPr>
        <w:rPr>
          <w:lang w:val="it-IT"/>
        </w:rPr>
      </w:pPr>
      <w:proofErr w:type="spellStart"/>
      <w:r w:rsidRPr="00B719A1">
        <w:rPr>
          <w:smallCaps/>
          <w:lang w:val="it-IT"/>
        </w:rPr>
        <w:t>Agustín</w:t>
      </w:r>
      <w:proofErr w:type="spellEnd"/>
      <w:r w:rsidRPr="00B719A1">
        <w:rPr>
          <w:smallCaps/>
          <w:lang w:val="it-IT"/>
        </w:rPr>
        <w:t xml:space="preserve"> de </w:t>
      </w:r>
      <w:proofErr w:type="spellStart"/>
      <w:r w:rsidRPr="00B719A1">
        <w:rPr>
          <w:smallCaps/>
          <w:lang w:val="it-IT"/>
        </w:rPr>
        <w:t>Hipona</w:t>
      </w:r>
      <w:proofErr w:type="spellEnd"/>
      <w:r w:rsidRPr="00B719A1">
        <w:rPr>
          <w:lang w:val="it-IT"/>
        </w:rPr>
        <w:t xml:space="preserve">, </w:t>
      </w:r>
      <w:r w:rsidRPr="00B719A1">
        <w:rPr>
          <w:i/>
          <w:iCs/>
          <w:lang w:val="it-IT"/>
        </w:rPr>
        <w:t xml:space="preserve">De Genesi contra </w:t>
      </w:r>
      <w:proofErr w:type="spellStart"/>
      <w:r w:rsidRPr="00B719A1">
        <w:rPr>
          <w:i/>
          <w:iCs/>
          <w:lang w:val="it-IT"/>
        </w:rPr>
        <w:t>Manicheos</w:t>
      </w:r>
      <w:proofErr w:type="spellEnd"/>
      <w:r w:rsidRPr="00B719A1">
        <w:rPr>
          <w:lang w:val="it-IT"/>
        </w:rPr>
        <w:t xml:space="preserve">, en </w:t>
      </w:r>
      <w:r w:rsidRPr="00B719A1">
        <w:rPr>
          <w:smallCaps/>
          <w:lang w:val="it-IT"/>
        </w:rPr>
        <w:t>L. Carrozzi</w:t>
      </w:r>
      <w:r w:rsidRPr="00B719A1">
        <w:rPr>
          <w:lang w:val="it-IT"/>
        </w:rPr>
        <w:t xml:space="preserve">, ed., </w:t>
      </w:r>
      <w:r w:rsidRPr="00B719A1">
        <w:rPr>
          <w:i/>
          <w:iCs/>
          <w:lang w:val="it-IT"/>
        </w:rPr>
        <w:t>Opere di Sant’Agostino</w:t>
      </w:r>
      <w:r w:rsidRPr="00B719A1">
        <w:rPr>
          <w:lang w:val="it-IT"/>
        </w:rPr>
        <w:t xml:space="preserve">, IX/1, Nuova Biblioteca </w:t>
      </w:r>
      <w:proofErr w:type="spellStart"/>
      <w:r w:rsidRPr="00B719A1">
        <w:rPr>
          <w:lang w:val="it-IT"/>
        </w:rPr>
        <w:t>Agustiniana</w:t>
      </w:r>
      <w:proofErr w:type="spellEnd"/>
      <w:r w:rsidRPr="00B719A1">
        <w:rPr>
          <w:lang w:val="it-IT"/>
        </w:rPr>
        <w:t>, Roma 1988, 47-181.</w:t>
      </w:r>
    </w:p>
    <w:p w:rsidR="00665820" w:rsidRPr="00FC5068" w:rsidRDefault="00665820" w:rsidP="008C75C4">
      <w:bookmarkStart w:id="32" w:name="_Toc137026777"/>
      <w:r w:rsidRPr="00FC5068">
        <w:t>Bibliografía secundaria</w:t>
      </w:r>
      <w:bookmarkEnd w:id="32"/>
    </w:p>
    <w:p w:rsidR="00665820" w:rsidRPr="00B719A1" w:rsidRDefault="00665820" w:rsidP="008C75C4">
      <w:pPr>
        <w:rPr>
          <w:lang w:val="fr-FR"/>
        </w:rPr>
      </w:pPr>
      <w:r w:rsidRPr="000E2EBD">
        <w:rPr>
          <w:lang w:val="fr-FR"/>
        </w:rPr>
        <w:t>Adam</w:t>
      </w:r>
      <w:r w:rsidRPr="00B719A1">
        <w:rPr>
          <w:smallCaps/>
          <w:lang w:val="fr-FR"/>
        </w:rPr>
        <w:t xml:space="preserve">, A., </w:t>
      </w:r>
      <w:r w:rsidRPr="00B719A1">
        <w:rPr>
          <w:lang w:val="fr-FR"/>
        </w:rPr>
        <w:t xml:space="preserve">Guillaume de Saint-Thierry, sa vie et ses ouvres, </w:t>
      </w:r>
      <w:proofErr w:type="spellStart"/>
      <w:r w:rsidRPr="00B719A1">
        <w:rPr>
          <w:lang w:val="fr-FR"/>
        </w:rPr>
        <w:t>Bourgen-Bresse</w:t>
      </w:r>
      <w:proofErr w:type="spellEnd"/>
      <w:r w:rsidRPr="00B719A1">
        <w:rPr>
          <w:lang w:val="fr-FR"/>
        </w:rPr>
        <w:t xml:space="preserve"> 1923.</w:t>
      </w:r>
    </w:p>
    <w:p w:rsidR="00665820" w:rsidRPr="00B719A1" w:rsidRDefault="00665820" w:rsidP="008C75C4">
      <w:pPr>
        <w:rPr>
          <w:sz w:val="24"/>
          <w:lang w:val="fr-FR"/>
        </w:rPr>
      </w:pPr>
      <w:r w:rsidRPr="000E2EBD">
        <w:rPr>
          <w:lang w:val="fr-FR"/>
        </w:rPr>
        <w:t>Allo</w:t>
      </w:r>
      <w:r w:rsidRPr="00B719A1">
        <w:rPr>
          <w:lang w:val="fr-FR"/>
        </w:rPr>
        <w:t xml:space="preserve">, E.-B., </w:t>
      </w:r>
      <w:r w:rsidRPr="00B719A1">
        <w:rPr>
          <w:smallCaps/>
          <w:lang w:val="fr-FR"/>
        </w:rPr>
        <w:t>S</w:t>
      </w:r>
      <w:r w:rsidRPr="00B719A1">
        <w:rPr>
          <w:lang w:val="fr-FR"/>
        </w:rPr>
        <w:t xml:space="preserve">aint Paul. Première épître aux Corinthiens, </w:t>
      </w:r>
      <w:proofErr w:type="spellStart"/>
      <w:r w:rsidRPr="00B719A1">
        <w:rPr>
          <w:lang w:val="fr-FR"/>
        </w:rPr>
        <w:t>EtB</w:t>
      </w:r>
      <w:proofErr w:type="spellEnd"/>
      <w:r w:rsidRPr="00B719A1">
        <w:rPr>
          <w:lang w:val="fr-FR"/>
        </w:rPr>
        <w:t>, Paris 1956</w:t>
      </w:r>
      <w:r w:rsidRPr="00B719A1">
        <w:rPr>
          <w:vertAlign w:val="superscript"/>
          <w:lang w:val="fr-FR"/>
        </w:rPr>
        <w:t>2</w:t>
      </w:r>
      <w:r w:rsidRPr="00B719A1">
        <w:rPr>
          <w:lang w:val="fr-FR"/>
        </w:rPr>
        <w:t>.</w:t>
      </w:r>
    </w:p>
    <w:p w:rsidR="00665820" w:rsidRDefault="00665820" w:rsidP="008C75C4">
      <w:pPr>
        <w:rPr>
          <w:lang w:val="en-GB"/>
        </w:rPr>
      </w:pPr>
      <w:r w:rsidRPr="000E2EBD">
        <w:rPr>
          <w:lang w:val="en-GB"/>
        </w:rPr>
        <w:t>Anderson</w:t>
      </w:r>
      <w:r>
        <w:rPr>
          <w:smallCaps/>
          <w:lang w:val="en-GB"/>
        </w:rPr>
        <w:t>, J., «T</w:t>
      </w:r>
      <w:r>
        <w:rPr>
          <w:lang w:val="en-GB"/>
        </w:rPr>
        <w:t xml:space="preserve">he Use of Greek Sources by William of Saint-Thierry, especially in the Enigma </w:t>
      </w:r>
      <w:proofErr w:type="spellStart"/>
      <w:r>
        <w:rPr>
          <w:lang w:val="en-GB"/>
        </w:rPr>
        <w:t>Fidei</w:t>
      </w:r>
      <w:proofErr w:type="spellEnd"/>
      <w:r>
        <w:rPr>
          <w:lang w:val="en-GB"/>
        </w:rPr>
        <w:t xml:space="preserve">», </w:t>
      </w:r>
      <w:proofErr w:type="spellStart"/>
      <w:r>
        <w:rPr>
          <w:lang w:val="en-GB"/>
        </w:rPr>
        <w:t>en</w:t>
      </w:r>
      <w:proofErr w:type="spellEnd"/>
      <w:r>
        <w:rPr>
          <w:lang w:val="en-GB"/>
        </w:rPr>
        <w:t xml:space="preserve"> M.B. </w:t>
      </w:r>
      <w:r>
        <w:rPr>
          <w:smallCaps/>
          <w:lang w:val="en-GB"/>
        </w:rPr>
        <w:t xml:space="preserve">Pennington, </w:t>
      </w:r>
      <w:proofErr w:type="spellStart"/>
      <w:r>
        <w:rPr>
          <w:lang w:val="en-GB"/>
        </w:rPr>
        <w:t>ed</w:t>
      </w:r>
      <w:proofErr w:type="spellEnd"/>
      <w:r>
        <w:rPr>
          <w:lang w:val="en-GB"/>
        </w:rPr>
        <w:t xml:space="preserve">, One yet Two. Monastic Tradition East and West. Orthodox – Cistercian symposium Oxford University, 26 August - 1 September 1973, </w:t>
      </w:r>
      <w:proofErr w:type="spellStart"/>
      <w:r>
        <w:rPr>
          <w:lang w:val="en-GB"/>
        </w:rPr>
        <w:t>CistSS</w:t>
      </w:r>
      <w:proofErr w:type="spellEnd"/>
      <w:r>
        <w:rPr>
          <w:lang w:val="en-GB"/>
        </w:rPr>
        <w:t xml:space="preserve"> 29, Kalamazoo (MI) 1976, 242-254.</w:t>
      </w:r>
    </w:p>
    <w:p w:rsidR="00665820" w:rsidRDefault="00665820" w:rsidP="008C75C4">
      <w:pPr>
        <w:rPr>
          <w:lang w:val="en-GB"/>
        </w:rPr>
      </w:pPr>
      <w:proofErr w:type="spellStart"/>
      <w:r w:rsidRPr="000E2EBD">
        <w:rPr>
          <w:lang w:val="en-GB"/>
        </w:rPr>
        <w:lastRenderedPageBreak/>
        <w:t>Aucoin</w:t>
      </w:r>
      <w:proofErr w:type="spellEnd"/>
      <w:r>
        <w:rPr>
          <w:smallCaps/>
          <w:lang w:val="en-GB"/>
        </w:rPr>
        <w:t xml:space="preserve">, M.A., </w:t>
      </w:r>
      <w:r>
        <w:rPr>
          <w:lang w:val="en-GB"/>
        </w:rPr>
        <w:t xml:space="preserve">«Augustine and John Chrysostom: Commentators on St. John’s Prologue», </w:t>
      </w:r>
      <w:proofErr w:type="spellStart"/>
      <w:r w:rsidRPr="00B719A1">
        <w:rPr>
          <w:lang w:val="en-GB"/>
        </w:rPr>
        <w:t>ScEc</w:t>
      </w:r>
      <w:proofErr w:type="spellEnd"/>
      <w:r>
        <w:rPr>
          <w:lang w:val="en-GB"/>
        </w:rPr>
        <w:t xml:space="preserve"> 15 (1963) 123-131.</w:t>
      </w:r>
    </w:p>
    <w:p w:rsidR="00665820" w:rsidRDefault="00665820" w:rsidP="008C75C4">
      <w:pPr>
        <w:rPr>
          <w:smallCaps/>
          <w:lang w:val="en-GB"/>
        </w:rPr>
      </w:pPr>
      <w:r>
        <w:rPr>
          <w:smallCaps/>
          <w:lang w:val="en-GB"/>
        </w:rPr>
        <w:t>Bell, D. N.,</w:t>
      </w:r>
      <w:r>
        <w:rPr>
          <w:lang w:val="en-GB"/>
        </w:rPr>
        <w:t xml:space="preserve"> «The Vita Antiqua of William of Saint-Thierry», </w:t>
      </w:r>
      <w:proofErr w:type="spellStart"/>
      <w:r>
        <w:rPr>
          <w:lang w:val="en-GB"/>
        </w:rPr>
        <w:t>CistS</w:t>
      </w:r>
      <w:proofErr w:type="spellEnd"/>
      <w:r>
        <w:rPr>
          <w:lang w:val="en-GB"/>
        </w:rPr>
        <w:t xml:space="preserve"> 11 (1976) 246-255.</w:t>
      </w:r>
    </w:p>
    <w:p w:rsidR="00665820" w:rsidRDefault="00665820" w:rsidP="008C75C4">
      <w:pPr>
        <w:rPr>
          <w:lang w:val="en-GB"/>
        </w:rPr>
      </w:pPr>
      <w:r>
        <w:rPr>
          <w:smallCaps/>
          <w:lang w:val="en-GB"/>
        </w:rPr>
        <w:t xml:space="preserve">———, </w:t>
      </w:r>
      <w:r>
        <w:rPr>
          <w:lang w:val="en-GB"/>
        </w:rPr>
        <w:t xml:space="preserve">«The tripartite soul and the Image of God in the Latin Tradition», </w:t>
      </w:r>
      <w:proofErr w:type="spellStart"/>
      <w:r>
        <w:rPr>
          <w:lang w:val="en-GB"/>
        </w:rPr>
        <w:t>RThAM</w:t>
      </w:r>
      <w:proofErr w:type="spellEnd"/>
      <w:r>
        <w:rPr>
          <w:lang w:val="en-GB"/>
        </w:rPr>
        <w:t xml:space="preserve"> 47 (1980) 16-52.</w:t>
      </w:r>
    </w:p>
    <w:p w:rsidR="00665820" w:rsidRDefault="00665820" w:rsidP="008C75C4">
      <w:pPr>
        <w:rPr>
          <w:lang w:val="en-GB"/>
        </w:rPr>
      </w:pPr>
      <w:r>
        <w:rPr>
          <w:lang w:val="en-GB"/>
        </w:rPr>
        <w:sym w:font="Symbol" w:char="00BE"/>
      </w:r>
      <w:r>
        <w:rPr>
          <w:lang w:val="en-GB"/>
        </w:rPr>
        <w:t xml:space="preserve">——, «William of Saint-Thierry and John Scot </w:t>
      </w:r>
      <w:proofErr w:type="spellStart"/>
      <w:r>
        <w:rPr>
          <w:lang w:val="en-GB"/>
        </w:rPr>
        <w:t>Eriugena</w:t>
      </w:r>
      <w:proofErr w:type="spellEnd"/>
      <w:r>
        <w:rPr>
          <w:lang w:val="en-GB"/>
        </w:rPr>
        <w:t xml:space="preserve">», </w:t>
      </w:r>
      <w:proofErr w:type="spellStart"/>
      <w:r>
        <w:rPr>
          <w:lang w:val="en-GB"/>
        </w:rPr>
        <w:t>Citeaux</w:t>
      </w:r>
      <w:proofErr w:type="spellEnd"/>
      <w:r>
        <w:rPr>
          <w:lang w:val="en-GB"/>
        </w:rPr>
        <w:t xml:space="preserve"> 33 (1982) 5-28.</w:t>
      </w:r>
    </w:p>
    <w:p w:rsidR="00665820" w:rsidRDefault="00665820" w:rsidP="008C75C4">
      <w:pPr>
        <w:rPr>
          <w:lang w:val="en-GB"/>
        </w:rPr>
      </w:pPr>
      <w:r>
        <w:rPr>
          <w:lang w:val="en-GB"/>
        </w:rPr>
        <w:t xml:space="preserve">———, The Image and Likeness. The </w:t>
      </w:r>
      <w:proofErr w:type="spellStart"/>
      <w:r>
        <w:rPr>
          <w:lang w:val="en-GB"/>
        </w:rPr>
        <w:t>Agustinian</w:t>
      </w:r>
      <w:proofErr w:type="spellEnd"/>
      <w:r>
        <w:rPr>
          <w:lang w:val="en-GB"/>
        </w:rPr>
        <w:t xml:space="preserve"> Spirituality of William of Saint-Thierry, Kalamazoo 1984.</w:t>
      </w:r>
    </w:p>
    <w:p w:rsidR="00665820" w:rsidRPr="00B719A1" w:rsidRDefault="00665820" w:rsidP="008C75C4">
      <w:pPr>
        <w:rPr>
          <w:lang w:val="it-IT"/>
        </w:rPr>
      </w:pPr>
      <w:proofErr w:type="spellStart"/>
      <w:r>
        <w:rPr>
          <w:smallCaps/>
          <w:lang w:val="it-IT"/>
        </w:rPr>
        <w:t>Bonanni</w:t>
      </w:r>
      <w:proofErr w:type="spellEnd"/>
      <w:r>
        <w:rPr>
          <w:smallCaps/>
          <w:lang w:val="it-IT"/>
        </w:rPr>
        <w:t xml:space="preserve">, S. P., </w:t>
      </w:r>
      <w:r>
        <w:rPr>
          <w:lang w:val="it-IT"/>
        </w:rPr>
        <w:t xml:space="preserve">Parlare della Trinità. Lettura della </w:t>
      </w:r>
      <w:proofErr w:type="spellStart"/>
      <w:r>
        <w:rPr>
          <w:lang w:val="it-IT"/>
        </w:rPr>
        <w:t>Theologia</w:t>
      </w:r>
      <w:proofErr w:type="spellEnd"/>
      <w:r>
        <w:rPr>
          <w:lang w:val="it-IT"/>
        </w:rPr>
        <w:t xml:space="preserve"> </w:t>
      </w:r>
      <w:proofErr w:type="spellStart"/>
      <w:r>
        <w:rPr>
          <w:lang w:val="it-IT"/>
        </w:rPr>
        <w:t>Scholarium</w:t>
      </w:r>
      <w:proofErr w:type="spellEnd"/>
      <w:r>
        <w:rPr>
          <w:lang w:val="it-IT"/>
        </w:rPr>
        <w:t xml:space="preserve"> di </w:t>
      </w:r>
      <w:r w:rsidRPr="00B719A1">
        <w:rPr>
          <w:lang w:val="it-IT"/>
        </w:rPr>
        <w:t xml:space="preserve">Abelardo, </w:t>
      </w:r>
      <w:proofErr w:type="spellStart"/>
      <w:r w:rsidRPr="00B719A1">
        <w:rPr>
          <w:lang w:val="it-IT"/>
        </w:rPr>
        <w:t>AnGr</w:t>
      </w:r>
      <w:proofErr w:type="spellEnd"/>
      <w:r w:rsidRPr="00B719A1">
        <w:rPr>
          <w:lang w:val="it-IT"/>
        </w:rPr>
        <w:t xml:space="preserve"> 268, Roma, 1996.</w:t>
      </w:r>
    </w:p>
    <w:p w:rsidR="00665820" w:rsidRPr="00B719A1" w:rsidRDefault="00665820" w:rsidP="008C75C4">
      <w:pPr>
        <w:rPr>
          <w:lang w:val="it-IT"/>
        </w:rPr>
      </w:pPr>
      <w:r>
        <w:rPr>
          <w:lang w:val="it-IT"/>
        </w:rPr>
        <w:t xml:space="preserve">———, </w:t>
      </w:r>
      <w:r w:rsidRPr="00B719A1">
        <w:rPr>
          <w:lang w:val="it-IT"/>
        </w:rPr>
        <w:t>«Il “</w:t>
      </w:r>
      <w:proofErr w:type="spellStart"/>
      <w:r w:rsidRPr="00B719A1">
        <w:rPr>
          <w:lang w:val="it-IT"/>
        </w:rPr>
        <w:t>Filioque</w:t>
      </w:r>
      <w:proofErr w:type="spellEnd"/>
      <w:r w:rsidRPr="00B719A1">
        <w:rPr>
          <w:lang w:val="it-IT"/>
        </w:rPr>
        <w:t xml:space="preserve">” tra dialettica e dialogo. Anselmo e Abelardo: posizioni a confronto», </w:t>
      </w:r>
      <w:proofErr w:type="spellStart"/>
      <w:r w:rsidRPr="00B719A1">
        <w:rPr>
          <w:lang w:val="it-IT"/>
        </w:rPr>
        <w:t>Lat</w:t>
      </w:r>
      <w:proofErr w:type="spellEnd"/>
      <w:r w:rsidRPr="00B719A1">
        <w:rPr>
          <w:lang w:val="it-IT"/>
        </w:rPr>
        <w:t>. 64 (1998) 49-79.</w:t>
      </w:r>
    </w:p>
    <w:p w:rsidR="00665820" w:rsidRPr="00B719A1" w:rsidRDefault="00665820" w:rsidP="008C75C4">
      <w:pPr>
        <w:rPr>
          <w:lang w:val="fr-FR"/>
        </w:rPr>
      </w:pPr>
      <w:proofErr w:type="spellStart"/>
      <w:r w:rsidRPr="00B719A1">
        <w:rPr>
          <w:smallCaps/>
          <w:lang w:val="fr-FR"/>
        </w:rPr>
        <w:t>Boquet</w:t>
      </w:r>
      <w:proofErr w:type="spellEnd"/>
      <w:r w:rsidRPr="00B719A1">
        <w:rPr>
          <w:smallCaps/>
          <w:lang w:val="fr-FR"/>
        </w:rPr>
        <w:t xml:space="preserve">, </w:t>
      </w:r>
      <w:r w:rsidRPr="00B719A1">
        <w:rPr>
          <w:lang w:val="fr-FR"/>
        </w:rPr>
        <w:t xml:space="preserve">D., «Un nouvel ordre </w:t>
      </w:r>
      <w:proofErr w:type="spellStart"/>
      <w:r w:rsidRPr="00B719A1">
        <w:rPr>
          <w:lang w:val="fr-FR"/>
        </w:rPr>
        <w:t>antropologique</w:t>
      </w:r>
      <w:proofErr w:type="spellEnd"/>
      <w:r w:rsidRPr="00B719A1">
        <w:rPr>
          <w:lang w:val="fr-FR"/>
        </w:rPr>
        <w:t xml:space="preserve"> au XII</w:t>
      </w:r>
      <w:r w:rsidRPr="00B719A1">
        <w:rPr>
          <w:vertAlign w:val="superscript"/>
          <w:lang w:val="fr-FR"/>
        </w:rPr>
        <w:t>e</w:t>
      </w:r>
      <w:r w:rsidRPr="00B719A1">
        <w:rPr>
          <w:lang w:val="fr-FR"/>
        </w:rPr>
        <w:t xml:space="preserve"> siècle: réflexions autour de la physique du corps de Guillaume de Saint-Thierry», Cîteaux 55 (2004) 5-20.</w:t>
      </w:r>
    </w:p>
    <w:p w:rsidR="00665820" w:rsidRDefault="00665820" w:rsidP="008C75C4">
      <w:pPr>
        <w:rPr>
          <w:lang w:val="en-GB"/>
        </w:rPr>
      </w:pPr>
      <w:r>
        <w:rPr>
          <w:smallCaps/>
          <w:lang w:val="en-GB"/>
        </w:rPr>
        <w:t>Bourke</w:t>
      </w:r>
      <w:r>
        <w:rPr>
          <w:lang w:val="en-GB"/>
        </w:rPr>
        <w:t>, V.J., «St Augustine and the cosmic soul», GM 9 (1954) 431-440.</w:t>
      </w:r>
    </w:p>
    <w:p w:rsidR="00665820" w:rsidRPr="00FC5068" w:rsidRDefault="00665820" w:rsidP="008C75C4">
      <w:pPr>
        <w:rPr>
          <w:lang w:val="en-GB"/>
        </w:rPr>
      </w:pPr>
      <w:proofErr w:type="spellStart"/>
      <w:r w:rsidRPr="00FC5068">
        <w:rPr>
          <w:lang w:val="en-GB"/>
        </w:rPr>
        <w:t>B</w:t>
      </w:r>
      <w:r w:rsidRPr="00FC5068">
        <w:rPr>
          <w:smallCaps/>
          <w:lang w:val="en-GB"/>
        </w:rPr>
        <w:t>ovon</w:t>
      </w:r>
      <w:proofErr w:type="spellEnd"/>
      <w:r w:rsidRPr="00FC5068">
        <w:rPr>
          <w:lang w:val="en-GB"/>
        </w:rPr>
        <w:t xml:space="preserve">, F., </w:t>
      </w:r>
      <w:proofErr w:type="spellStart"/>
      <w:r w:rsidRPr="00FC5068">
        <w:rPr>
          <w:lang w:val="en-GB"/>
        </w:rPr>
        <w:t>L’Évangile</w:t>
      </w:r>
      <w:proofErr w:type="spellEnd"/>
      <w:r w:rsidRPr="00FC5068">
        <w:rPr>
          <w:lang w:val="en-GB"/>
        </w:rPr>
        <w:t xml:space="preserve"> </w:t>
      </w:r>
      <w:proofErr w:type="spellStart"/>
      <w:r w:rsidRPr="00FC5068">
        <w:rPr>
          <w:lang w:val="en-GB"/>
        </w:rPr>
        <w:t>selon</w:t>
      </w:r>
      <w:proofErr w:type="spellEnd"/>
      <w:r w:rsidRPr="00FC5068">
        <w:rPr>
          <w:lang w:val="en-GB"/>
        </w:rPr>
        <w:t xml:space="preserve"> saint Luc, I-III, CNT(N) 3a-c, Genève 1991, 1996, 2001; trad. </w:t>
      </w:r>
      <w:proofErr w:type="spellStart"/>
      <w:r w:rsidRPr="00FC5068">
        <w:rPr>
          <w:lang w:val="en-GB"/>
        </w:rPr>
        <w:t>española</w:t>
      </w:r>
      <w:proofErr w:type="spellEnd"/>
      <w:r w:rsidRPr="00FC5068">
        <w:rPr>
          <w:lang w:val="en-GB"/>
        </w:rPr>
        <w:t xml:space="preserve">, El </w:t>
      </w:r>
      <w:proofErr w:type="spellStart"/>
      <w:r w:rsidRPr="00FC5068">
        <w:rPr>
          <w:lang w:val="en-GB"/>
        </w:rPr>
        <w:t>evangelio</w:t>
      </w:r>
      <w:proofErr w:type="spellEnd"/>
      <w:r w:rsidRPr="00FC5068">
        <w:rPr>
          <w:lang w:val="en-GB"/>
        </w:rPr>
        <w:t xml:space="preserve"> </w:t>
      </w:r>
      <w:proofErr w:type="spellStart"/>
      <w:r w:rsidRPr="00FC5068">
        <w:rPr>
          <w:lang w:val="en-GB"/>
        </w:rPr>
        <w:t>según</w:t>
      </w:r>
      <w:proofErr w:type="spellEnd"/>
      <w:r w:rsidRPr="00FC5068">
        <w:rPr>
          <w:lang w:val="en-GB"/>
        </w:rPr>
        <w:t xml:space="preserve"> San Lucas, I-III, BEB 85, 86, 87, Salamanca 1995, 2002, 2004.</w:t>
      </w:r>
    </w:p>
    <w:p w:rsidR="00665820" w:rsidRPr="00B719A1" w:rsidRDefault="00665820" w:rsidP="008C75C4">
      <w:pPr>
        <w:rPr>
          <w:lang w:val="en-GB"/>
        </w:rPr>
      </w:pPr>
      <w:r w:rsidRPr="00B719A1">
        <w:rPr>
          <w:smallCaps/>
          <w:lang w:val="en-GB"/>
        </w:rPr>
        <w:t>Brooke, A.E.,</w:t>
      </w:r>
      <w:r w:rsidRPr="00B719A1">
        <w:rPr>
          <w:lang w:val="en-GB"/>
        </w:rPr>
        <w:t xml:space="preserve"> A critical and exegetical commentary on the </w:t>
      </w:r>
      <w:proofErr w:type="spellStart"/>
      <w:r w:rsidRPr="00B719A1">
        <w:rPr>
          <w:lang w:val="en-GB"/>
        </w:rPr>
        <w:t>Joahnnine</w:t>
      </w:r>
      <w:proofErr w:type="spellEnd"/>
      <w:r w:rsidRPr="00B719A1">
        <w:rPr>
          <w:lang w:val="en-GB"/>
        </w:rPr>
        <w:t xml:space="preserve"> Epistles, ICC, Edinburgh 1912.</w:t>
      </w:r>
    </w:p>
    <w:p w:rsidR="00665820" w:rsidRDefault="00665820" w:rsidP="008C75C4">
      <w:pPr>
        <w:rPr>
          <w:sz w:val="24"/>
          <w:lang w:val="en-GB"/>
        </w:rPr>
      </w:pPr>
      <w:r>
        <w:rPr>
          <w:smallCaps/>
          <w:lang w:val="en-GB"/>
        </w:rPr>
        <w:t xml:space="preserve">Brooke, O., </w:t>
      </w:r>
      <w:r>
        <w:rPr>
          <w:lang w:val="en-GB"/>
        </w:rPr>
        <w:t xml:space="preserve">«The Trinitarian Aspect of the Ascent of the Soul to God in the Theology of William of Saint-Thierry», </w:t>
      </w:r>
      <w:proofErr w:type="spellStart"/>
      <w:r>
        <w:rPr>
          <w:lang w:val="en-GB"/>
        </w:rPr>
        <w:t>RThAM</w:t>
      </w:r>
      <w:proofErr w:type="spellEnd"/>
      <w:r>
        <w:rPr>
          <w:lang w:val="en-GB"/>
        </w:rPr>
        <w:t xml:space="preserve"> 26 (1959) 85-127.</w:t>
      </w:r>
    </w:p>
    <w:p w:rsidR="00665820" w:rsidRDefault="00665820" w:rsidP="008C75C4">
      <w:pPr>
        <w:rPr>
          <w:lang w:val="en-GB"/>
        </w:rPr>
      </w:pPr>
      <w:r>
        <w:rPr>
          <w:lang w:val="en-GB"/>
        </w:rPr>
        <w:sym w:font="Symbol" w:char="00BE"/>
      </w:r>
      <w:r>
        <w:rPr>
          <w:lang w:val="en-GB"/>
        </w:rPr>
        <w:t xml:space="preserve">——, «The Speculative Development of the Trinitarian Theology of William of Saint-Thierry in the </w:t>
      </w:r>
      <w:proofErr w:type="spellStart"/>
      <w:r>
        <w:rPr>
          <w:lang w:val="en-GB"/>
        </w:rPr>
        <w:t>Aenigma</w:t>
      </w:r>
      <w:proofErr w:type="spellEnd"/>
      <w:r>
        <w:rPr>
          <w:lang w:val="en-GB"/>
        </w:rPr>
        <w:t xml:space="preserve"> </w:t>
      </w:r>
      <w:proofErr w:type="spellStart"/>
      <w:r>
        <w:rPr>
          <w:lang w:val="en-GB"/>
        </w:rPr>
        <w:t>fidei</w:t>
      </w:r>
      <w:proofErr w:type="spellEnd"/>
      <w:r>
        <w:rPr>
          <w:lang w:val="en-GB"/>
        </w:rPr>
        <w:t xml:space="preserve">», </w:t>
      </w:r>
      <w:proofErr w:type="spellStart"/>
      <w:r>
        <w:rPr>
          <w:lang w:val="en-GB"/>
        </w:rPr>
        <w:t>RThAM</w:t>
      </w:r>
      <w:proofErr w:type="spellEnd"/>
      <w:r>
        <w:rPr>
          <w:lang w:val="en-GB"/>
        </w:rPr>
        <w:t xml:space="preserve"> 27 (1960) 193-211; 28 (1961) 26-58.</w:t>
      </w:r>
    </w:p>
    <w:p w:rsidR="007F0091" w:rsidRDefault="007F0091" w:rsidP="008C75C4">
      <w:pPr>
        <w:rPr>
          <w:lang w:val="en-GB"/>
        </w:rPr>
      </w:pPr>
    </w:p>
    <w:p w:rsidR="007F0091" w:rsidRDefault="007F0091" w:rsidP="008C75C4">
      <w:pPr>
        <w:rPr>
          <w:lang w:val="en-GB"/>
        </w:rPr>
      </w:pPr>
    </w:p>
    <w:p w:rsidR="007F0091" w:rsidRDefault="007F0091" w:rsidP="008C75C4">
      <w:pPr>
        <w:rPr>
          <w:lang w:val="en-GB"/>
        </w:rPr>
      </w:pPr>
    </w:p>
    <w:sectPr w:rsidR="007F0091" w:rsidSect="006A1D91">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037" w:rsidRDefault="000D2037" w:rsidP="00AD5EDB">
      <w:r>
        <w:separator/>
      </w:r>
    </w:p>
  </w:endnote>
  <w:endnote w:type="continuationSeparator" w:id="0">
    <w:p w:rsidR="000D2037" w:rsidRDefault="000D2037" w:rsidP="00AD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037" w:rsidRDefault="000D2037" w:rsidP="00AD5EDB">
      <w:r>
        <w:separator/>
      </w:r>
    </w:p>
  </w:footnote>
  <w:footnote w:type="continuationSeparator" w:id="0">
    <w:p w:rsidR="000D2037" w:rsidRDefault="000D2037" w:rsidP="00AD5EDB">
      <w:r>
        <w:continuationSeparator/>
      </w:r>
    </w:p>
  </w:footnote>
  <w:footnote w:id="1">
    <w:p w:rsidR="00AD5EDB" w:rsidRPr="00CE4ABB" w:rsidRDefault="00AD5EDB" w:rsidP="00AD5EDB">
      <w:pPr>
        <w:pStyle w:val="Textonotapie"/>
        <w:rPr>
          <w:lang w:val="fr-FR"/>
        </w:rPr>
      </w:pPr>
      <w:r>
        <w:rPr>
          <w:rStyle w:val="Refdenotaalpie"/>
        </w:rPr>
        <w:footnoteRef/>
      </w:r>
      <w:r w:rsidRPr="00CE4ABB">
        <w:rPr>
          <w:lang w:val="fr-FR"/>
        </w:rPr>
        <w:t xml:space="preserve"> P. </w:t>
      </w:r>
      <w:proofErr w:type="spellStart"/>
      <w:r w:rsidRPr="00D036ED">
        <w:rPr>
          <w:lang w:val="fr-FR"/>
        </w:rPr>
        <w:t>Verdeyen</w:t>
      </w:r>
      <w:proofErr w:type="spellEnd"/>
      <w:r w:rsidRPr="00CE4ABB">
        <w:rPr>
          <w:lang w:val="fr-FR"/>
        </w:rPr>
        <w:t xml:space="preserve">, </w:t>
      </w:r>
      <w:r w:rsidRPr="00CE4ABB">
        <w:rPr>
          <w:i/>
          <w:iCs/>
          <w:lang w:val="fr-FR"/>
        </w:rPr>
        <w:t>La théologie mystique</w:t>
      </w:r>
      <w:r w:rsidRPr="00CE4ABB">
        <w:rPr>
          <w:lang w:val="fr-FR"/>
        </w:rPr>
        <w:t>, 98.</w:t>
      </w:r>
    </w:p>
  </w:footnote>
  <w:footnote w:id="2">
    <w:p w:rsidR="000E2EBD" w:rsidRDefault="000E2EBD" w:rsidP="000E2EBD">
      <w:pPr>
        <w:pStyle w:val="Textonotapie"/>
      </w:pPr>
      <w:r>
        <w:rPr>
          <w:rStyle w:val="Refdenotaalpie"/>
        </w:rPr>
        <w:footnoteRef/>
      </w:r>
      <w:r>
        <w:t xml:space="preserve"> Cf. </w:t>
      </w:r>
      <w:r w:rsidRPr="00CE4ABB">
        <w:t>P. </w:t>
      </w:r>
      <w:proofErr w:type="spellStart"/>
      <w:r w:rsidRPr="00D036ED">
        <w:t>Verdeyen</w:t>
      </w:r>
      <w:proofErr w:type="spellEnd"/>
      <w:r w:rsidRPr="00CE4ABB">
        <w:t>, «</w:t>
      </w:r>
      <w:proofErr w:type="spellStart"/>
      <w:r w:rsidRPr="00CE4ABB">
        <w:t>Introduction</w:t>
      </w:r>
      <w:proofErr w:type="spellEnd"/>
      <w:r w:rsidRPr="00CE4ABB">
        <w:t xml:space="preserve"> </w:t>
      </w:r>
      <w:proofErr w:type="spellStart"/>
      <w:r w:rsidRPr="00CE4ABB">
        <w:t>generale</w:t>
      </w:r>
      <w:proofErr w:type="spellEnd"/>
      <w:r w:rsidRPr="00CE4ABB">
        <w:t xml:space="preserve">», </w:t>
      </w:r>
      <w:r w:rsidRPr="00CE4ABB">
        <w:rPr>
          <w:smallCaps/>
        </w:rPr>
        <w:t>v-xxiii</w:t>
      </w:r>
      <w:r w:rsidRPr="00CE4ABB">
        <w:t xml:space="preserve">. Pueden verse otras biografías más detalladas, como las ya clásicas de </w:t>
      </w:r>
      <w:r>
        <w:rPr>
          <w:smallCaps/>
        </w:rPr>
        <w:t>A. Adam</w:t>
      </w:r>
      <w:r>
        <w:t xml:space="preserve">, </w:t>
      </w:r>
      <w:r>
        <w:rPr>
          <w:i/>
          <w:iCs/>
        </w:rPr>
        <w:t xml:space="preserve">Guillaume de Saint-Thierry. </w:t>
      </w:r>
      <w:r w:rsidRPr="00CE4ABB">
        <w:rPr>
          <w:i/>
          <w:iCs/>
          <w:lang w:val="fr-FR"/>
        </w:rPr>
        <w:t xml:space="preserve">Sa Vie et ses </w:t>
      </w:r>
      <w:r w:rsidRPr="00CE4ABB">
        <w:rPr>
          <w:i/>
          <w:iCs/>
          <w:caps/>
          <w:lang w:val="fr-FR"/>
        </w:rPr>
        <w:t>œ</w:t>
      </w:r>
      <w:r w:rsidRPr="00CE4ABB">
        <w:rPr>
          <w:i/>
          <w:iCs/>
          <w:lang w:val="fr-FR"/>
        </w:rPr>
        <w:t>uvres</w:t>
      </w:r>
      <w:r w:rsidRPr="00CE4ABB">
        <w:rPr>
          <w:lang w:val="fr-FR"/>
        </w:rPr>
        <w:t>;</w:t>
      </w:r>
      <w:r w:rsidRPr="00CE4ABB">
        <w:rPr>
          <w:i/>
          <w:iCs/>
          <w:lang w:val="fr-FR"/>
        </w:rPr>
        <w:t xml:space="preserve"> </w:t>
      </w:r>
      <w:r w:rsidRPr="00CE4ABB">
        <w:rPr>
          <w:lang w:val="fr-FR"/>
        </w:rPr>
        <w:t xml:space="preserve">la de </w:t>
      </w:r>
      <w:r w:rsidRPr="00CE4ABB">
        <w:rPr>
          <w:smallCaps/>
          <w:lang w:val="fr-FR"/>
        </w:rPr>
        <w:t>J.-M. </w:t>
      </w:r>
      <w:proofErr w:type="spellStart"/>
      <w:r w:rsidRPr="00CE4ABB">
        <w:rPr>
          <w:smallCaps/>
          <w:lang w:val="fr-FR"/>
        </w:rPr>
        <w:t>Déchanet</w:t>
      </w:r>
      <w:proofErr w:type="spellEnd"/>
      <w:r>
        <w:rPr>
          <w:smallCaps/>
          <w:lang w:val="fr-FR"/>
        </w:rPr>
        <w:fldChar w:fldCharType="begin"/>
      </w:r>
      <w:r>
        <w:rPr>
          <w:smallCaps/>
          <w:lang w:val="fr-FR"/>
        </w:rPr>
        <w:instrText>"</w:instrText>
      </w:r>
      <w:r w:rsidRPr="00F7127E">
        <w:rPr>
          <w:lang w:val="fr-FR"/>
        </w:rPr>
        <w:instrText>Déchanet"</w:instrText>
      </w:r>
      <w:r>
        <w:rPr>
          <w:smallCaps/>
          <w:lang w:val="fr-FR"/>
        </w:rPr>
        <w:instrText xml:space="preserve"> </w:instrText>
      </w:r>
      <w:r>
        <w:rPr>
          <w:smallCaps/>
          <w:lang w:val="fr-FR"/>
        </w:rPr>
        <w:fldChar w:fldCharType="end"/>
      </w:r>
      <w:r w:rsidRPr="00CE4ABB">
        <w:rPr>
          <w:lang w:val="fr-FR"/>
        </w:rPr>
        <w:t xml:space="preserve">, </w:t>
      </w:r>
      <w:r w:rsidRPr="00CE4ABB">
        <w:rPr>
          <w:i/>
          <w:iCs/>
          <w:lang w:val="fr-FR"/>
        </w:rPr>
        <w:t xml:space="preserve">Guillaume de Saint-Thierry. </w:t>
      </w:r>
      <w:proofErr w:type="spellStart"/>
      <w:r>
        <w:rPr>
          <w:i/>
          <w:iCs/>
          <w:lang w:val="en-GB"/>
        </w:rPr>
        <w:t>L’homme</w:t>
      </w:r>
      <w:proofErr w:type="spellEnd"/>
      <w:r>
        <w:rPr>
          <w:i/>
          <w:iCs/>
          <w:lang w:val="en-GB"/>
        </w:rPr>
        <w:t xml:space="preserve"> et son </w:t>
      </w:r>
      <w:proofErr w:type="spellStart"/>
      <w:r>
        <w:rPr>
          <w:i/>
          <w:iCs/>
          <w:lang w:val="en-GB"/>
        </w:rPr>
        <w:t>œuvre</w:t>
      </w:r>
      <w:proofErr w:type="spellEnd"/>
      <w:r>
        <w:rPr>
          <w:lang w:val="en-GB"/>
        </w:rPr>
        <w:t xml:space="preserve">; o la del </w:t>
      </w:r>
      <w:proofErr w:type="spellStart"/>
      <w:r>
        <w:rPr>
          <w:lang w:val="en-GB"/>
        </w:rPr>
        <w:t>salesiano</w:t>
      </w:r>
      <w:proofErr w:type="spellEnd"/>
      <w:r>
        <w:rPr>
          <w:lang w:val="en-GB"/>
        </w:rPr>
        <w:t xml:space="preserve"> S. </w:t>
      </w:r>
      <w:proofErr w:type="spellStart"/>
      <w:r>
        <w:rPr>
          <w:smallCaps/>
          <w:lang w:val="en-GB"/>
        </w:rPr>
        <w:t>Ceglar</w:t>
      </w:r>
      <w:proofErr w:type="spellEnd"/>
      <w:r>
        <w:rPr>
          <w:smallCaps/>
          <w:lang w:val="en-GB"/>
        </w:rPr>
        <w:fldChar w:fldCharType="begin"/>
      </w:r>
      <w:r>
        <w:rPr>
          <w:smallCaps/>
          <w:lang w:val="en-GB"/>
        </w:rPr>
        <w:instrText>"</w:instrText>
      </w:r>
      <w:r w:rsidRPr="00AD5EDB">
        <w:rPr>
          <w:lang w:val="en-US"/>
        </w:rPr>
        <w:instrText>Ceglar"</w:instrText>
      </w:r>
      <w:r>
        <w:rPr>
          <w:smallCaps/>
          <w:lang w:val="en-GB"/>
        </w:rPr>
        <w:instrText xml:space="preserve"> </w:instrText>
      </w:r>
      <w:r>
        <w:rPr>
          <w:smallCaps/>
          <w:lang w:val="en-GB"/>
        </w:rPr>
        <w:fldChar w:fldCharType="end"/>
      </w:r>
      <w:r>
        <w:rPr>
          <w:lang w:val="en-GB"/>
        </w:rPr>
        <w:t xml:space="preserve">, </w:t>
      </w:r>
      <w:r>
        <w:rPr>
          <w:i/>
          <w:iCs/>
          <w:lang w:val="en-GB"/>
        </w:rPr>
        <w:t xml:space="preserve">William of Saint-Thierry. </w:t>
      </w:r>
      <w:proofErr w:type="spellStart"/>
      <w:r w:rsidRPr="007F0091">
        <w:rPr>
          <w:i/>
          <w:iCs/>
        </w:rPr>
        <w:t>The</w:t>
      </w:r>
      <w:proofErr w:type="spellEnd"/>
      <w:r w:rsidRPr="007F0091">
        <w:rPr>
          <w:i/>
          <w:iCs/>
        </w:rPr>
        <w:t xml:space="preserve"> </w:t>
      </w:r>
      <w:proofErr w:type="spellStart"/>
      <w:r w:rsidRPr="007F0091">
        <w:rPr>
          <w:i/>
          <w:iCs/>
        </w:rPr>
        <w:t>Chronology</w:t>
      </w:r>
      <w:proofErr w:type="spellEnd"/>
      <w:r w:rsidRPr="007F0091">
        <w:rPr>
          <w:i/>
          <w:iCs/>
        </w:rPr>
        <w:t xml:space="preserve"> of </w:t>
      </w:r>
      <w:proofErr w:type="spellStart"/>
      <w:r w:rsidRPr="007F0091">
        <w:rPr>
          <w:i/>
          <w:iCs/>
        </w:rPr>
        <w:t>his</w:t>
      </w:r>
      <w:proofErr w:type="spellEnd"/>
      <w:r w:rsidRPr="007F0091">
        <w:rPr>
          <w:i/>
          <w:iCs/>
        </w:rPr>
        <w:t xml:space="preserve"> </w:t>
      </w:r>
      <w:proofErr w:type="spellStart"/>
      <w:r w:rsidRPr="007F0091">
        <w:rPr>
          <w:i/>
          <w:iCs/>
        </w:rPr>
        <w:t>Life</w:t>
      </w:r>
      <w:proofErr w:type="spellEnd"/>
      <w:r w:rsidRPr="007F0091">
        <w:t xml:space="preserve">. </w:t>
      </w:r>
      <w:r>
        <w:t xml:space="preserve">En español tenemos la obra de </w:t>
      </w:r>
      <w:r>
        <w:rPr>
          <w:smallCaps/>
        </w:rPr>
        <w:t>J.</w:t>
      </w:r>
      <w:r>
        <w:rPr>
          <w:smallCaps/>
        </w:rPr>
        <w:noBreakHyphen/>
        <w:t>M. de la</w:t>
      </w:r>
      <w:r>
        <w:t xml:space="preserve"> </w:t>
      </w:r>
      <w:r>
        <w:rPr>
          <w:smallCaps/>
        </w:rPr>
        <w:t xml:space="preserve">Torre, </w:t>
      </w:r>
      <w:r>
        <w:rPr>
          <w:i/>
          <w:iCs/>
        </w:rPr>
        <w:t>Guillermo de Saint-Thierry. Un formador de creyentes</w:t>
      </w:r>
      <w:r>
        <w:t xml:space="preserve">. Recordemos, por último, una biografía anónima de Guillermo, que data de los últimos decenios del siglo XII y que se conoce como </w:t>
      </w:r>
      <w:r>
        <w:rPr>
          <w:i/>
          <w:iCs/>
        </w:rPr>
        <w:t xml:space="preserve">Vita </w:t>
      </w:r>
      <w:proofErr w:type="spellStart"/>
      <w:r>
        <w:rPr>
          <w:i/>
          <w:iCs/>
        </w:rPr>
        <w:t>Antiqua</w:t>
      </w:r>
      <w:proofErr w:type="spellEnd"/>
      <w:r>
        <w:t>. A. </w:t>
      </w:r>
      <w:proofErr w:type="spellStart"/>
      <w:r>
        <w:t>Poncelet</w:t>
      </w:r>
      <w:proofErr w:type="spellEnd"/>
      <w:r>
        <w:fldChar w:fldCharType="begin"/>
      </w:r>
      <w:r>
        <w:instrText>"</w:instrText>
      </w:r>
      <w:r w:rsidRPr="00466287">
        <w:instrText>Poncelet</w:instrText>
      </w:r>
      <w:r>
        <w:instrText xml:space="preserve">" </w:instrText>
      </w:r>
      <w:r>
        <w:fldChar w:fldCharType="end"/>
      </w:r>
      <w:r>
        <w:t xml:space="preserve"> la publicó por primera vez, en 1908, limitándose a transcribirla sin comentario alguno (</w:t>
      </w:r>
      <w:proofErr w:type="spellStart"/>
      <w:r>
        <w:rPr>
          <w:i/>
          <w:iCs/>
        </w:rPr>
        <w:t>Mélanges</w:t>
      </w:r>
      <w:proofErr w:type="spellEnd"/>
      <w:r>
        <w:rPr>
          <w:i/>
          <w:iCs/>
        </w:rPr>
        <w:t xml:space="preserve"> </w:t>
      </w:r>
      <w:proofErr w:type="spellStart"/>
      <w:r>
        <w:rPr>
          <w:i/>
          <w:iCs/>
        </w:rPr>
        <w:t>Godefroid</w:t>
      </w:r>
      <w:proofErr w:type="spellEnd"/>
      <w:r>
        <w:rPr>
          <w:i/>
          <w:iCs/>
        </w:rPr>
        <w:t xml:space="preserve"> </w:t>
      </w:r>
      <w:proofErr w:type="spellStart"/>
      <w:r>
        <w:rPr>
          <w:i/>
          <w:iCs/>
        </w:rPr>
        <w:t>Kurth</w:t>
      </w:r>
      <w:proofErr w:type="spellEnd"/>
      <w:r>
        <w:t xml:space="preserve">. </w:t>
      </w:r>
      <w:r w:rsidRPr="00CE4ABB">
        <w:rPr>
          <w:lang w:val="fr-FR"/>
        </w:rPr>
        <w:t>I.</w:t>
      </w:r>
      <w:r w:rsidRPr="00CE4ABB">
        <w:rPr>
          <w:i/>
          <w:iCs/>
          <w:lang w:val="fr-FR"/>
        </w:rPr>
        <w:t xml:space="preserve"> Mémoires historiques</w:t>
      </w:r>
      <w:r w:rsidRPr="00CE4ABB">
        <w:rPr>
          <w:lang w:val="fr-FR"/>
        </w:rPr>
        <w:t xml:space="preserve">, Paris – Liège 1908, 85-98; cf. </w:t>
      </w:r>
      <w:proofErr w:type="spellStart"/>
      <w:r w:rsidRPr="00CE4ABB">
        <w:rPr>
          <w:i/>
          <w:iCs/>
          <w:lang w:val="fr-FR"/>
        </w:rPr>
        <w:t>Guillelmi</w:t>
      </w:r>
      <w:proofErr w:type="spellEnd"/>
      <w:r w:rsidRPr="00CE4ABB">
        <w:rPr>
          <w:i/>
          <w:iCs/>
          <w:lang w:val="fr-FR"/>
        </w:rPr>
        <w:t xml:space="preserve"> a </w:t>
      </w:r>
      <w:proofErr w:type="spellStart"/>
      <w:r w:rsidRPr="00CE4ABB">
        <w:rPr>
          <w:i/>
          <w:iCs/>
          <w:lang w:val="fr-FR"/>
        </w:rPr>
        <w:t>sancto</w:t>
      </w:r>
      <w:proofErr w:type="spellEnd"/>
      <w:r w:rsidRPr="00CE4ABB">
        <w:rPr>
          <w:i/>
          <w:iCs/>
          <w:lang w:val="fr-FR"/>
        </w:rPr>
        <w:t xml:space="preserve"> </w:t>
      </w:r>
      <w:proofErr w:type="spellStart"/>
      <w:r w:rsidRPr="00CE4ABB">
        <w:rPr>
          <w:i/>
          <w:iCs/>
          <w:lang w:val="fr-FR"/>
        </w:rPr>
        <w:t>Theodorico</w:t>
      </w:r>
      <w:proofErr w:type="spellEnd"/>
      <w:r w:rsidRPr="00CE4ABB">
        <w:rPr>
          <w:i/>
          <w:iCs/>
          <w:lang w:val="fr-FR"/>
        </w:rPr>
        <w:t xml:space="preserve"> </w:t>
      </w:r>
      <w:proofErr w:type="spellStart"/>
      <w:r w:rsidRPr="00CE4ABB">
        <w:rPr>
          <w:i/>
          <w:iCs/>
          <w:lang w:val="fr-FR"/>
        </w:rPr>
        <w:t>Opera</w:t>
      </w:r>
      <w:proofErr w:type="spellEnd"/>
      <w:r w:rsidRPr="00CE4ABB">
        <w:rPr>
          <w:i/>
          <w:iCs/>
          <w:lang w:val="fr-FR"/>
        </w:rPr>
        <w:t xml:space="preserve"> </w:t>
      </w:r>
      <w:proofErr w:type="spellStart"/>
      <w:r w:rsidRPr="00CE4ABB">
        <w:rPr>
          <w:i/>
          <w:iCs/>
          <w:lang w:val="fr-FR"/>
        </w:rPr>
        <w:t>omnia</w:t>
      </w:r>
      <w:proofErr w:type="spellEnd"/>
      <w:r w:rsidRPr="00CE4ABB">
        <w:rPr>
          <w:lang w:val="fr-FR"/>
        </w:rPr>
        <w:t xml:space="preserve">, IV, CCCM 89, 113-122). </w:t>
      </w:r>
      <w:r w:rsidRPr="00CE4ABB">
        <w:t xml:space="preserve">En la actualidad, existe una nueva edición de esta obra, con notas y una traducción francesa, de </w:t>
      </w:r>
      <w:r w:rsidRPr="00CE4ABB">
        <w:rPr>
          <w:smallCaps/>
        </w:rPr>
        <w:t xml:space="preserve">F. le </w:t>
      </w:r>
      <w:proofErr w:type="spellStart"/>
      <w:r w:rsidRPr="00CE4ABB">
        <w:rPr>
          <w:smallCaps/>
        </w:rPr>
        <w:t>Brun</w:t>
      </w:r>
      <w:proofErr w:type="spellEnd"/>
      <w:r w:rsidRPr="00CE4ABB">
        <w:t>, «</w:t>
      </w:r>
      <w:r w:rsidRPr="00CE4ABB">
        <w:rPr>
          <w:i/>
          <w:iCs/>
        </w:rPr>
        <w:t xml:space="preserve">Vita </w:t>
      </w:r>
      <w:proofErr w:type="spellStart"/>
      <w:r w:rsidRPr="00CE4ABB">
        <w:rPr>
          <w:i/>
          <w:iCs/>
        </w:rPr>
        <w:t>Antiqua</w:t>
      </w:r>
      <w:proofErr w:type="spellEnd"/>
      <w:r>
        <w:rPr>
          <w:i/>
          <w:iCs/>
        </w:rPr>
        <w:t xml:space="preserve"> </w:t>
      </w:r>
      <w:proofErr w:type="spellStart"/>
      <w:r>
        <w:rPr>
          <w:i/>
          <w:iCs/>
        </w:rPr>
        <w:t>Willelmi</w:t>
      </w:r>
      <w:proofErr w:type="spellEnd"/>
      <w:r>
        <w:rPr>
          <w:i/>
          <w:iCs/>
        </w:rPr>
        <w:t xml:space="preserve"> Sancti </w:t>
      </w:r>
      <w:proofErr w:type="spellStart"/>
      <w:r>
        <w:rPr>
          <w:i/>
          <w:iCs/>
        </w:rPr>
        <w:t>Theoderici</w:t>
      </w:r>
      <w:proofErr w:type="spellEnd"/>
      <w:r w:rsidRPr="00CE4ABB">
        <w:t xml:space="preserve">», así como una versión inglesa de </w:t>
      </w:r>
      <w:r w:rsidRPr="00CE4ABB">
        <w:rPr>
          <w:smallCaps/>
        </w:rPr>
        <w:t>D.N. Bell</w:t>
      </w:r>
      <w:r w:rsidRPr="00CE4ABB">
        <w:t>, «</w:t>
      </w:r>
      <w:proofErr w:type="spellStart"/>
      <w:r w:rsidRPr="00CE4ABB">
        <w:t>The</w:t>
      </w:r>
      <w:proofErr w:type="spellEnd"/>
      <w:r w:rsidRPr="00CE4ABB">
        <w:t xml:space="preserve"> </w:t>
      </w:r>
      <w:r w:rsidRPr="00CE4ABB">
        <w:rPr>
          <w:i/>
          <w:iCs/>
        </w:rPr>
        <w:t xml:space="preserve">Vita </w:t>
      </w:r>
      <w:proofErr w:type="spellStart"/>
      <w:r w:rsidRPr="00CE4ABB">
        <w:rPr>
          <w:i/>
          <w:iCs/>
        </w:rPr>
        <w:t>Antiqua</w:t>
      </w:r>
      <w:proofErr w:type="spellEnd"/>
      <w:r w:rsidRPr="00CE4ABB">
        <w:t>».</w:t>
      </w:r>
    </w:p>
  </w:footnote>
  <w:footnote w:id="3">
    <w:p w:rsidR="00AD5EDB" w:rsidRPr="00CE4ABB" w:rsidRDefault="00AD5EDB" w:rsidP="00AD5EDB">
      <w:pPr>
        <w:pStyle w:val="Textonotapie"/>
        <w:rPr>
          <w:lang w:val="fr-FR"/>
        </w:rPr>
      </w:pPr>
      <w:r>
        <w:rPr>
          <w:rStyle w:val="Refdenotaalpie"/>
        </w:rPr>
        <w:footnoteRef/>
      </w:r>
      <w:r w:rsidRPr="00CE4ABB">
        <w:rPr>
          <w:lang w:val="fr-FR"/>
        </w:rPr>
        <w:t xml:space="preserve"> Cf. </w:t>
      </w:r>
      <w:r w:rsidRPr="00CE4ABB">
        <w:rPr>
          <w:smallCaps/>
          <w:lang w:val="fr-FR"/>
        </w:rPr>
        <w:t>L. </w:t>
      </w:r>
      <w:proofErr w:type="spellStart"/>
      <w:r w:rsidRPr="00D036ED">
        <w:rPr>
          <w:lang w:val="fr-FR"/>
        </w:rPr>
        <w:t>Milis</w:t>
      </w:r>
      <w:proofErr w:type="spellEnd"/>
      <w:r w:rsidR="00554B5D">
        <w:rPr>
          <w:smallCaps/>
          <w:lang w:val="fr-FR"/>
        </w:rPr>
        <w:fldChar w:fldCharType="begin"/>
      </w:r>
      <w:r>
        <w:rPr>
          <w:smallCaps/>
          <w:lang w:val="fr-FR"/>
        </w:rPr>
        <w:instrText>"</w:instrText>
      </w:r>
      <w:r w:rsidRPr="00F7127E">
        <w:rPr>
          <w:lang w:val="fr-FR"/>
        </w:rPr>
        <w:instrText>Milis"</w:instrText>
      </w:r>
      <w:r>
        <w:rPr>
          <w:smallCaps/>
          <w:lang w:val="fr-FR"/>
        </w:rPr>
        <w:instrText xml:space="preserve"> </w:instrText>
      </w:r>
      <w:r w:rsidR="00554B5D">
        <w:rPr>
          <w:smallCaps/>
          <w:lang w:val="fr-FR"/>
        </w:rPr>
        <w:fldChar w:fldCharType="end"/>
      </w:r>
      <w:r w:rsidRPr="00CE4ABB">
        <w:rPr>
          <w:lang w:val="fr-FR"/>
        </w:rPr>
        <w:t>, «Guillaume de Saint-Thierry, son origine», 272-274.</w:t>
      </w:r>
    </w:p>
  </w:footnote>
  <w:footnote w:id="4">
    <w:p w:rsidR="00AD5EDB" w:rsidRPr="00CE4ABB" w:rsidRDefault="00AD5EDB" w:rsidP="00AD5EDB">
      <w:pPr>
        <w:pStyle w:val="Textonotapie"/>
        <w:rPr>
          <w:lang w:val="fr-FR"/>
        </w:rPr>
      </w:pPr>
      <w:r>
        <w:rPr>
          <w:rStyle w:val="Refdenotaalpie"/>
        </w:rPr>
        <w:footnoteRef/>
      </w:r>
      <w:r w:rsidRPr="00CE4ABB">
        <w:rPr>
          <w:lang w:val="fr-FR"/>
        </w:rPr>
        <w:t xml:space="preserve"> Cf. </w:t>
      </w:r>
      <w:r w:rsidRPr="00CE4ABB">
        <w:rPr>
          <w:smallCaps/>
          <w:lang w:val="fr-FR"/>
        </w:rPr>
        <w:t>D. </w:t>
      </w:r>
      <w:proofErr w:type="spellStart"/>
      <w:r w:rsidRPr="00D036ED">
        <w:rPr>
          <w:lang w:val="fr-FR"/>
        </w:rPr>
        <w:t>Cazes</w:t>
      </w:r>
      <w:proofErr w:type="spellEnd"/>
      <w:r w:rsidR="00554B5D">
        <w:rPr>
          <w:smallCaps/>
          <w:lang w:val="fr-FR"/>
        </w:rPr>
        <w:fldChar w:fldCharType="begin"/>
      </w:r>
      <w:r>
        <w:rPr>
          <w:smallCaps/>
          <w:lang w:val="fr-FR"/>
        </w:rPr>
        <w:instrText>"</w:instrText>
      </w:r>
      <w:r w:rsidRPr="00F7127E">
        <w:rPr>
          <w:lang w:val="fr-FR"/>
        </w:rPr>
        <w:instrText>Cazes"</w:instrText>
      </w:r>
      <w:r>
        <w:rPr>
          <w:smallCaps/>
          <w:lang w:val="fr-FR"/>
        </w:rPr>
        <w:instrText xml:space="preserve"> </w:instrText>
      </w:r>
      <w:r w:rsidR="00554B5D">
        <w:rPr>
          <w:smallCaps/>
          <w:lang w:val="fr-FR"/>
        </w:rPr>
        <w:fldChar w:fldCharType="end"/>
      </w:r>
      <w:r w:rsidRPr="00CE4ABB">
        <w:rPr>
          <w:lang w:val="fr-FR"/>
        </w:rPr>
        <w:t>, «Portraits de moines», 304-310.</w:t>
      </w:r>
    </w:p>
  </w:footnote>
  <w:footnote w:id="5">
    <w:p w:rsidR="00AD5EDB" w:rsidRDefault="00AD5EDB" w:rsidP="00AD5EDB">
      <w:pPr>
        <w:pStyle w:val="Textonotapie"/>
      </w:pPr>
      <w:r>
        <w:rPr>
          <w:rStyle w:val="Refdenotaalpie"/>
        </w:rPr>
        <w:footnoteRef/>
      </w:r>
      <w:r w:rsidRPr="00CE4ABB">
        <w:rPr>
          <w:lang w:val="fr-FR"/>
        </w:rPr>
        <w:t xml:space="preserve"> Cf. </w:t>
      </w:r>
      <w:r w:rsidRPr="00CE4ABB">
        <w:rPr>
          <w:smallCaps/>
          <w:lang w:val="fr-FR"/>
        </w:rPr>
        <w:t>B. </w:t>
      </w:r>
      <w:proofErr w:type="spellStart"/>
      <w:r w:rsidRPr="00D036ED">
        <w:rPr>
          <w:lang w:val="fr-FR"/>
        </w:rPr>
        <w:t>Pennington</w:t>
      </w:r>
      <w:proofErr w:type="spellEnd"/>
      <w:r w:rsidR="00554B5D">
        <w:rPr>
          <w:smallCaps/>
          <w:lang w:val="fr-FR"/>
        </w:rPr>
        <w:fldChar w:fldCharType="begin"/>
      </w:r>
      <w:r>
        <w:rPr>
          <w:smallCaps/>
          <w:lang w:val="fr-FR"/>
        </w:rPr>
        <w:instrText>"</w:instrText>
      </w:r>
      <w:r w:rsidRPr="00F7127E">
        <w:rPr>
          <w:lang w:val="fr-FR"/>
        </w:rPr>
        <w:instrText>Pennington"</w:instrText>
      </w:r>
      <w:r>
        <w:rPr>
          <w:smallCaps/>
          <w:lang w:val="fr-FR"/>
        </w:rPr>
        <w:instrText xml:space="preserve"> </w:instrText>
      </w:r>
      <w:r w:rsidR="00554B5D">
        <w:rPr>
          <w:smallCaps/>
          <w:lang w:val="fr-FR"/>
        </w:rPr>
        <w:fldChar w:fldCharType="end"/>
      </w:r>
      <w:r w:rsidRPr="00CE4ABB">
        <w:rPr>
          <w:lang w:val="fr-FR"/>
        </w:rPr>
        <w:t xml:space="preserve">, «Guillaume, abbé et père spirituel»; </w:t>
      </w:r>
      <w:r w:rsidRPr="00CE4ABB">
        <w:rPr>
          <w:iCs/>
          <w:lang w:val="fr-FR"/>
        </w:rPr>
        <w:t>S. </w:t>
      </w:r>
      <w:proofErr w:type="spellStart"/>
      <w:r w:rsidRPr="00CE4ABB">
        <w:rPr>
          <w:iCs/>
          <w:smallCaps/>
          <w:lang w:val="fr-FR"/>
        </w:rPr>
        <w:t>Ceglar</w:t>
      </w:r>
      <w:proofErr w:type="spellEnd"/>
      <w:r w:rsidR="00554B5D">
        <w:rPr>
          <w:iCs/>
          <w:smallCaps/>
          <w:lang w:val="fr-FR"/>
        </w:rPr>
        <w:fldChar w:fldCharType="begin"/>
      </w:r>
      <w:r>
        <w:rPr>
          <w:iCs/>
          <w:smallCaps/>
          <w:lang w:val="fr-FR"/>
        </w:rPr>
        <w:instrText>"</w:instrText>
      </w:r>
      <w:r w:rsidRPr="00F7127E">
        <w:rPr>
          <w:lang w:val="fr-FR"/>
        </w:rPr>
        <w:instrText>Ceglar"</w:instrText>
      </w:r>
      <w:r>
        <w:rPr>
          <w:iCs/>
          <w:smallCaps/>
          <w:lang w:val="fr-FR"/>
        </w:rPr>
        <w:instrText xml:space="preserve"> </w:instrText>
      </w:r>
      <w:r w:rsidR="00554B5D">
        <w:rPr>
          <w:iCs/>
          <w:smallCaps/>
          <w:lang w:val="fr-FR"/>
        </w:rPr>
        <w:fldChar w:fldCharType="end"/>
      </w:r>
      <w:r w:rsidRPr="00CE4ABB">
        <w:rPr>
          <w:iCs/>
          <w:lang w:val="fr-FR"/>
        </w:rPr>
        <w:t>, «</w:t>
      </w:r>
      <w:r w:rsidRPr="00CE4ABB">
        <w:rPr>
          <w:lang w:val="fr-FR"/>
        </w:rPr>
        <w:t>Guillaume de Saint-Thierry</w:t>
      </w:r>
      <w:r w:rsidRPr="00CE4ABB">
        <w:rPr>
          <w:iCs/>
          <w:lang w:val="fr-FR"/>
        </w:rPr>
        <w:t xml:space="preserve"> et son rôle de directeur», 299-309</w:t>
      </w:r>
      <w:r w:rsidRPr="00CE4ABB">
        <w:rPr>
          <w:lang w:val="fr-FR"/>
        </w:rPr>
        <w:t xml:space="preserve">. </w:t>
      </w:r>
      <w:r>
        <w:t xml:space="preserve">Esta actividad reformadora de Guillermo queda patente en la llamada </w:t>
      </w:r>
      <w:proofErr w:type="spellStart"/>
      <w:r>
        <w:rPr>
          <w:i/>
          <w:iCs/>
        </w:rPr>
        <w:t>Responsio</w:t>
      </w:r>
      <w:proofErr w:type="spellEnd"/>
      <w:r>
        <w:rPr>
          <w:i/>
          <w:iCs/>
        </w:rPr>
        <w:t xml:space="preserve"> </w:t>
      </w:r>
      <w:proofErr w:type="spellStart"/>
      <w:r>
        <w:rPr>
          <w:i/>
          <w:iCs/>
        </w:rPr>
        <w:t>abbatum</w:t>
      </w:r>
      <w:proofErr w:type="spellEnd"/>
      <w:r>
        <w:t xml:space="preserve">, en la que, en nombre de todos los abades reunidos en </w:t>
      </w:r>
      <w:proofErr w:type="spellStart"/>
      <w:r>
        <w:t>Soissons</w:t>
      </w:r>
      <w:proofErr w:type="spellEnd"/>
      <w:r>
        <w:t xml:space="preserve"> para promover una reforma en los monasterios cluniacenses, Guillermo responde a las críticas vertidas contra ellos por el cardenal Mateo de Albano (cf. </w:t>
      </w:r>
      <w:proofErr w:type="spellStart"/>
      <w:r>
        <w:rPr>
          <w:i/>
          <w:iCs/>
        </w:rPr>
        <w:t>ibid</w:t>
      </w:r>
      <w:proofErr w:type="spellEnd"/>
      <w:r>
        <w:t>., 334-350).</w:t>
      </w:r>
    </w:p>
  </w:footnote>
  <w:footnote w:id="6">
    <w:p w:rsidR="00AD5EDB" w:rsidRDefault="00AD5EDB" w:rsidP="00AD5EDB">
      <w:pPr>
        <w:pStyle w:val="Textonotapie"/>
        <w:rPr>
          <w:lang w:val="fr-FR"/>
        </w:rPr>
      </w:pPr>
      <w:r>
        <w:rPr>
          <w:rStyle w:val="Refdenotaalpie"/>
        </w:rPr>
        <w:footnoteRef/>
      </w:r>
      <w:r>
        <w:rPr>
          <w:lang w:val="fr-FR"/>
        </w:rPr>
        <w:t xml:space="preserve"> </w:t>
      </w:r>
      <w:proofErr w:type="spellStart"/>
      <w:r>
        <w:rPr>
          <w:i/>
          <w:iCs/>
          <w:lang w:val="fr-FR"/>
        </w:rPr>
        <w:t>NDAm</w:t>
      </w:r>
      <w:proofErr w:type="spellEnd"/>
      <w:r>
        <w:rPr>
          <w:lang w:val="fr-FR"/>
        </w:rPr>
        <w:t xml:space="preserve"> 12, 352-353 (187): «super </w:t>
      </w:r>
      <w:proofErr w:type="spellStart"/>
      <w:r w:rsidRPr="00AD5EDB">
        <w:rPr>
          <w:rStyle w:val="Apretadito1"/>
          <w:lang w:val="en-US"/>
        </w:rPr>
        <w:t>virtutes</w:t>
      </w:r>
      <w:proofErr w:type="spellEnd"/>
      <w:r w:rsidRPr="00AD5EDB">
        <w:rPr>
          <w:rStyle w:val="Apretadito1"/>
          <w:lang w:val="en-US"/>
        </w:rPr>
        <w:t xml:space="preserve"> </w:t>
      </w:r>
      <w:proofErr w:type="spellStart"/>
      <w:r w:rsidRPr="00AD5EDB">
        <w:rPr>
          <w:rStyle w:val="Apretadito1"/>
          <w:lang w:val="en-US"/>
        </w:rPr>
        <w:t>virtus</w:t>
      </w:r>
      <w:proofErr w:type="spellEnd"/>
      <w:r w:rsidRPr="00AD5EDB">
        <w:rPr>
          <w:rStyle w:val="Apretadito1"/>
          <w:lang w:val="en-US"/>
        </w:rPr>
        <w:t xml:space="preserve"> </w:t>
      </w:r>
      <w:proofErr w:type="spellStart"/>
      <w:r w:rsidRPr="00AD5EDB">
        <w:rPr>
          <w:rStyle w:val="Apretadito1"/>
          <w:lang w:val="en-US"/>
        </w:rPr>
        <w:t>caritatis</w:t>
      </w:r>
      <w:proofErr w:type="spellEnd"/>
      <w:r w:rsidRPr="00AD5EDB">
        <w:rPr>
          <w:rStyle w:val="Apretadito1"/>
          <w:lang w:val="en-US"/>
        </w:rPr>
        <w:t xml:space="preserve"> Deo </w:t>
      </w:r>
      <w:proofErr w:type="spellStart"/>
      <w:r w:rsidRPr="00AD5EDB">
        <w:rPr>
          <w:rStyle w:val="Apretadito1"/>
          <w:lang w:val="en-US"/>
        </w:rPr>
        <w:t>cohæret</w:t>
      </w:r>
      <w:proofErr w:type="spellEnd"/>
      <w:r w:rsidRPr="00AD5EDB">
        <w:rPr>
          <w:rStyle w:val="Apretadito1"/>
          <w:lang w:val="en-US"/>
        </w:rPr>
        <w:t xml:space="preserve"> et </w:t>
      </w:r>
      <w:proofErr w:type="spellStart"/>
      <w:r w:rsidRPr="00AD5EDB">
        <w:rPr>
          <w:rStyle w:val="Apretadito1"/>
          <w:lang w:val="en-US"/>
        </w:rPr>
        <w:t>assimilatur</w:t>
      </w:r>
      <w:proofErr w:type="spellEnd"/>
      <w:r>
        <w:rPr>
          <w:lang w:val="fr-FR"/>
        </w:rPr>
        <w:t>».</w:t>
      </w:r>
    </w:p>
  </w:footnote>
  <w:footnote w:id="7">
    <w:p w:rsidR="00AD5EDB" w:rsidRPr="007F0091" w:rsidRDefault="00AD5EDB" w:rsidP="00AD5EDB">
      <w:pPr>
        <w:pStyle w:val="Textonotapie"/>
        <w:rPr>
          <w:lang w:val="fr-FR"/>
        </w:rPr>
      </w:pPr>
      <w:r>
        <w:rPr>
          <w:rStyle w:val="Refdenotaalpie"/>
        </w:rPr>
        <w:footnoteRef/>
      </w:r>
      <w:r w:rsidRPr="007F0091">
        <w:rPr>
          <w:lang w:val="fr-FR"/>
        </w:rPr>
        <w:t xml:space="preserve"> </w:t>
      </w:r>
      <w:proofErr w:type="spellStart"/>
      <w:r w:rsidRPr="007F0091">
        <w:rPr>
          <w:i/>
          <w:iCs/>
          <w:lang w:val="fr-FR"/>
        </w:rPr>
        <w:t>NDAm</w:t>
      </w:r>
      <w:proofErr w:type="spellEnd"/>
      <w:r w:rsidRPr="007F0091">
        <w:rPr>
          <w:lang w:val="fr-FR"/>
        </w:rPr>
        <w:t xml:space="preserve"> 12, 346-351 (186-187): «</w:t>
      </w:r>
      <w:proofErr w:type="spellStart"/>
      <w:r w:rsidRPr="007F0091">
        <w:rPr>
          <w:lang w:val="fr-FR"/>
        </w:rPr>
        <w:t>amor</w:t>
      </w:r>
      <w:proofErr w:type="spellEnd"/>
      <w:r w:rsidRPr="007F0091">
        <w:rPr>
          <w:lang w:val="fr-FR"/>
        </w:rPr>
        <w:t xml:space="preserve"> a Deo, in Deo, ad Deum </w:t>
      </w:r>
      <w:proofErr w:type="spellStart"/>
      <w:r w:rsidRPr="007F0091">
        <w:rPr>
          <w:lang w:val="fr-FR"/>
        </w:rPr>
        <w:t>caritas</w:t>
      </w:r>
      <w:proofErr w:type="spellEnd"/>
      <w:r w:rsidRPr="007F0091">
        <w:rPr>
          <w:lang w:val="fr-FR"/>
        </w:rPr>
        <w:t xml:space="preserve"> est. Caritas </w:t>
      </w:r>
      <w:proofErr w:type="spellStart"/>
      <w:r w:rsidRPr="007F0091">
        <w:rPr>
          <w:lang w:val="fr-FR"/>
        </w:rPr>
        <w:t>autem</w:t>
      </w:r>
      <w:proofErr w:type="spellEnd"/>
      <w:r w:rsidRPr="007F0091">
        <w:rPr>
          <w:lang w:val="fr-FR"/>
        </w:rPr>
        <w:t xml:space="preserve"> Deus est: </w:t>
      </w:r>
      <w:r w:rsidRPr="007F0091">
        <w:rPr>
          <w:i/>
          <w:iCs/>
          <w:lang w:val="fr-FR"/>
        </w:rPr>
        <w:t>Deus</w:t>
      </w:r>
      <w:r w:rsidRPr="007F0091">
        <w:rPr>
          <w:lang w:val="fr-FR"/>
        </w:rPr>
        <w:t xml:space="preserve">, </w:t>
      </w:r>
      <w:proofErr w:type="spellStart"/>
      <w:r w:rsidRPr="007F0091">
        <w:rPr>
          <w:lang w:val="fr-FR"/>
        </w:rPr>
        <w:t>inquit</w:t>
      </w:r>
      <w:proofErr w:type="spellEnd"/>
      <w:r w:rsidRPr="007F0091">
        <w:rPr>
          <w:lang w:val="fr-FR"/>
        </w:rPr>
        <w:t xml:space="preserve">, </w:t>
      </w:r>
      <w:proofErr w:type="spellStart"/>
      <w:r w:rsidRPr="007F0091">
        <w:rPr>
          <w:i/>
          <w:iCs/>
          <w:lang w:val="fr-FR"/>
        </w:rPr>
        <w:t>caritas</w:t>
      </w:r>
      <w:proofErr w:type="spellEnd"/>
      <w:r w:rsidRPr="007F0091">
        <w:rPr>
          <w:i/>
          <w:iCs/>
          <w:lang w:val="fr-FR"/>
        </w:rPr>
        <w:t xml:space="preserve"> est</w:t>
      </w:r>
      <w:r w:rsidRPr="007F0091">
        <w:rPr>
          <w:lang w:val="fr-FR"/>
        </w:rPr>
        <w:t xml:space="preserve"> (1Jn 4,8). </w:t>
      </w:r>
      <w:proofErr w:type="spellStart"/>
      <w:r w:rsidRPr="007F0091">
        <w:rPr>
          <w:lang w:val="fr-FR"/>
        </w:rPr>
        <w:t>Brevis</w:t>
      </w:r>
      <w:proofErr w:type="spellEnd"/>
      <w:r w:rsidRPr="007F0091">
        <w:rPr>
          <w:lang w:val="fr-FR"/>
        </w:rPr>
        <w:t xml:space="preserve"> </w:t>
      </w:r>
      <w:proofErr w:type="spellStart"/>
      <w:r w:rsidRPr="007F0091">
        <w:rPr>
          <w:lang w:val="fr-FR"/>
        </w:rPr>
        <w:t>laus</w:t>
      </w:r>
      <w:proofErr w:type="spellEnd"/>
      <w:r w:rsidRPr="007F0091">
        <w:rPr>
          <w:lang w:val="fr-FR"/>
        </w:rPr>
        <w:t xml:space="preserve">, </w:t>
      </w:r>
      <w:proofErr w:type="spellStart"/>
      <w:r w:rsidRPr="007F0091">
        <w:rPr>
          <w:lang w:val="fr-FR"/>
        </w:rPr>
        <w:t>sed</w:t>
      </w:r>
      <w:proofErr w:type="spellEnd"/>
      <w:r w:rsidRPr="007F0091">
        <w:rPr>
          <w:lang w:val="fr-FR"/>
        </w:rPr>
        <w:t xml:space="preserve"> </w:t>
      </w:r>
      <w:proofErr w:type="spellStart"/>
      <w:r w:rsidRPr="007F0091">
        <w:rPr>
          <w:lang w:val="fr-FR"/>
        </w:rPr>
        <w:t>concludens</w:t>
      </w:r>
      <w:proofErr w:type="spellEnd"/>
      <w:r w:rsidRPr="007F0091">
        <w:rPr>
          <w:lang w:val="fr-FR"/>
        </w:rPr>
        <w:t xml:space="preserve"> </w:t>
      </w:r>
      <w:proofErr w:type="spellStart"/>
      <w:r w:rsidRPr="007F0091">
        <w:rPr>
          <w:lang w:val="fr-FR"/>
        </w:rPr>
        <w:t>omnia</w:t>
      </w:r>
      <w:proofErr w:type="spellEnd"/>
      <w:r w:rsidRPr="007F0091">
        <w:rPr>
          <w:lang w:val="fr-FR"/>
        </w:rPr>
        <w:t xml:space="preserve">. </w:t>
      </w:r>
      <w:proofErr w:type="spellStart"/>
      <w:r w:rsidRPr="007F0091">
        <w:rPr>
          <w:lang w:val="fr-FR"/>
        </w:rPr>
        <w:t>Quidquid</w:t>
      </w:r>
      <w:proofErr w:type="spellEnd"/>
      <w:r w:rsidRPr="007F0091">
        <w:rPr>
          <w:lang w:val="fr-FR"/>
        </w:rPr>
        <w:t xml:space="preserve"> de Deo </w:t>
      </w:r>
      <w:proofErr w:type="spellStart"/>
      <w:r w:rsidRPr="007F0091">
        <w:rPr>
          <w:lang w:val="fr-FR"/>
        </w:rPr>
        <w:t>dici</w:t>
      </w:r>
      <w:proofErr w:type="spellEnd"/>
      <w:r w:rsidRPr="007F0091">
        <w:rPr>
          <w:lang w:val="fr-FR"/>
        </w:rPr>
        <w:t xml:space="preserve"> </w:t>
      </w:r>
      <w:proofErr w:type="spellStart"/>
      <w:r w:rsidRPr="007F0091">
        <w:rPr>
          <w:lang w:val="fr-FR"/>
        </w:rPr>
        <w:t>potest</w:t>
      </w:r>
      <w:proofErr w:type="spellEnd"/>
      <w:r w:rsidRPr="007F0091">
        <w:rPr>
          <w:lang w:val="fr-FR"/>
        </w:rPr>
        <w:t xml:space="preserve">, </w:t>
      </w:r>
      <w:proofErr w:type="spellStart"/>
      <w:r w:rsidRPr="007F0091">
        <w:rPr>
          <w:lang w:val="fr-FR"/>
        </w:rPr>
        <w:t>potest</w:t>
      </w:r>
      <w:proofErr w:type="spellEnd"/>
      <w:r w:rsidRPr="007F0091">
        <w:rPr>
          <w:lang w:val="fr-FR"/>
        </w:rPr>
        <w:t xml:space="preserve"> </w:t>
      </w:r>
      <w:proofErr w:type="spellStart"/>
      <w:r w:rsidRPr="007F0091">
        <w:rPr>
          <w:lang w:val="fr-FR"/>
        </w:rPr>
        <w:t>dici</w:t>
      </w:r>
      <w:proofErr w:type="spellEnd"/>
      <w:r w:rsidRPr="007F0091">
        <w:rPr>
          <w:lang w:val="fr-FR"/>
        </w:rPr>
        <w:t xml:space="preserve"> et de </w:t>
      </w:r>
      <w:proofErr w:type="spellStart"/>
      <w:r w:rsidRPr="007F0091">
        <w:rPr>
          <w:lang w:val="fr-FR"/>
        </w:rPr>
        <w:t>caritate</w:t>
      </w:r>
      <w:proofErr w:type="spellEnd"/>
      <w:r w:rsidRPr="007F0091">
        <w:rPr>
          <w:lang w:val="fr-FR"/>
        </w:rPr>
        <w:t xml:space="preserve">; sic </w:t>
      </w:r>
      <w:proofErr w:type="spellStart"/>
      <w:r w:rsidRPr="007F0091">
        <w:rPr>
          <w:lang w:val="fr-FR"/>
        </w:rPr>
        <w:t>tamen</w:t>
      </w:r>
      <w:proofErr w:type="spellEnd"/>
      <w:r w:rsidRPr="007F0091">
        <w:rPr>
          <w:lang w:val="fr-FR"/>
        </w:rPr>
        <w:t xml:space="preserve"> ut </w:t>
      </w:r>
      <w:proofErr w:type="spellStart"/>
      <w:r w:rsidRPr="007F0091">
        <w:rPr>
          <w:lang w:val="fr-FR"/>
        </w:rPr>
        <w:t>considerata</w:t>
      </w:r>
      <w:proofErr w:type="spellEnd"/>
      <w:r w:rsidRPr="007F0091">
        <w:rPr>
          <w:lang w:val="fr-FR"/>
        </w:rPr>
        <w:t xml:space="preserve"> </w:t>
      </w:r>
      <w:proofErr w:type="spellStart"/>
      <w:r w:rsidRPr="007F0091">
        <w:rPr>
          <w:lang w:val="fr-FR"/>
        </w:rPr>
        <w:t>secundum</w:t>
      </w:r>
      <w:proofErr w:type="spellEnd"/>
      <w:r w:rsidRPr="007F0091">
        <w:rPr>
          <w:lang w:val="fr-FR"/>
        </w:rPr>
        <w:t xml:space="preserve"> </w:t>
      </w:r>
      <w:proofErr w:type="spellStart"/>
      <w:r w:rsidRPr="007F0091">
        <w:rPr>
          <w:lang w:val="fr-FR"/>
        </w:rPr>
        <w:t>naturas</w:t>
      </w:r>
      <w:proofErr w:type="spellEnd"/>
      <w:r w:rsidRPr="007F0091">
        <w:rPr>
          <w:lang w:val="fr-FR"/>
        </w:rPr>
        <w:t xml:space="preserve"> </w:t>
      </w:r>
      <w:proofErr w:type="spellStart"/>
      <w:r w:rsidRPr="007F0091">
        <w:rPr>
          <w:lang w:val="fr-FR"/>
        </w:rPr>
        <w:t>doni</w:t>
      </w:r>
      <w:proofErr w:type="spellEnd"/>
      <w:r w:rsidRPr="007F0091">
        <w:rPr>
          <w:lang w:val="fr-FR"/>
        </w:rPr>
        <w:t xml:space="preserve"> et </w:t>
      </w:r>
      <w:proofErr w:type="spellStart"/>
      <w:r w:rsidRPr="007F0091">
        <w:rPr>
          <w:lang w:val="fr-FR"/>
        </w:rPr>
        <w:t>dantis</w:t>
      </w:r>
      <w:proofErr w:type="spellEnd"/>
      <w:r w:rsidRPr="007F0091">
        <w:rPr>
          <w:lang w:val="fr-FR"/>
        </w:rPr>
        <w:t xml:space="preserve">, in </w:t>
      </w:r>
      <w:proofErr w:type="spellStart"/>
      <w:r w:rsidRPr="007F0091">
        <w:rPr>
          <w:lang w:val="fr-FR"/>
        </w:rPr>
        <w:t>dante</w:t>
      </w:r>
      <w:proofErr w:type="spellEnd"/>
      <w:r w:rsidRPr="007F0091">
        <w:rPr>
          <w:lang w:val="fr-FR"/>
        </w:rPr>
        <w:t xml:space="preserve"> </w:t>
      </w:r>
      <w:proofErr w:type="spellStart"/>
      <w:r w:rsidRPr="007F0091">
        <w:rPr>
          <w:lang w:val="fr-FR"/>
        </w:rPr>
        <w:t>nomen</w:t>
      </w:r>
      <w:proofErr w:type="spellEnd"/>
      <w:r w:rsidRPr="007F0091">
        <w:rPr>
          <w:lang w:val="fr-FR"/>
        </w:rPr>
        <w:t xml:space="preserve"> </w:t>
      </w:r>
      <w:proofErr w:type="spellStart"/>
      <w:r w:rsidRPr="007F0091">
        <w:rPr>
          <w:lang w:val="fr-FR"/>
        </w:rPr>
        <w:t>sit</w:t>
      </w:r>
      <w:proofErr w:type="spellEnd"/>
      <w:r w:rsidRPr="007F0091">
        <w:rPr>
          <w:lang w:val="fr-FR"/>
        </w:rPr>
        <w:t xml:space="preserve"> </w:t>
      </w:r>
      <w:proofErr w:type="spellStart"/>
      <w:r w:rsidRPr="007F0091">
        <w:rPr>
          <w:lang w:val="fr-FR"/>
        </w:rPr>
        <w:t>substantiae</w:t>
      </w:r>
      <w:proofErr w:type="spellEnd"/>
      <w:r w:rsidRPr="007F0091">
        <w:rPr>
          <w:lang w:val="fr-FR"/>
        </w:rPr>
        <w:t xml:space="preserve">, in </w:t>
      </w:r>
      <w:proofErr w:type="spellStart"/>
      <w:r w:rsidRPr="007F0091">
        <w:rPr>
          <w:lang w:val="fr-FR"/>
        </w:rPr>
        <w:t>dono</w:t>
      </w:r>
      <w:proofErr w:type="spellEnd"/>
      <w:r w:rsidRPr="007F0091">
        <w:rPr>
          <w:lang w:val="fr-FR"/>
        </w:rPr>
        <w:t xml:space="preserve"> </w:t>
      </w:r>
      <w:proofErr w:type="spellStart"/>
      <w:r w:rsidRPr="007F0091">
        <w:rPr>
          <w:lang w:val="fr-FR"/>
        </w:rPr>
        <w:t>qualitatis</w:t>
      </w:r>
      <w:proofErr w:type="spellEnd"/>
      <w:r w:rsidRPr="007F0091">
        <w:rPr>
          <w:lang w:val="fr-FR"/>
        </w:rPr>
        <w:t>…»</w:t>
      </w:r>
    </w:p>
  </w:footnote>
  <w:footnote w:id="8">
    <w:p w:rsidR="00AD5EDB" w:rsidRDefault="00AD5EDB" w:rsidP="00AD5EDB">
      <w:pPr>
        <w:pStyle w:val="Textonotapie"/>
        <w:rPr>
          <w:lang w:val="en-GB"/>
        </w:rPr>
      </w:pPr>
      <w:r>
        <w:rPr>
          <w:rStyle w:val="Refdenotaalpie"/>
        </w:rPr>
        <w:footnoteRef/>
      </w:r>
      <w:r>
        <w:rPr>
          <w:lang w:val="en-GB"/>
        </w:rPr>
        <w:t xml:space="preserve"> </w:t>
      </w:r>
      <w:r>
        <w:rPr>
          <w:smallCaps/>
          <w:lang w:val="en-GB"/>
        </w:rPr>
        <w:t>A.E. </w:t>
      </w:r>
      <w:r w:rsidRPr="00D036ED">
        <w:rPr>
          <w:lang w:val="en-GB"/>
        </w:rPr>
        <w:t>Brooke</w:t>
      </w:r>
      <w:r>
        <w:rPr>
          <w:lang w:val="en-GB"/>
        </w:rPr>
        <w:t xml:space="preserve">, </w:t>
      </w:r>
      <w:r>
        <w:rPr>
          <w:i/>
          <w:iCs/>
          <w:lang w:val="en-GB"/>
        </w:rPr>
        <w:t xml:space="preserve">The </w:t>
      </w:r>
      <w:proofErr w:type="spellStart"/>
      <w:r>
        <w:rPr>
          <w:i/>
          <w:iCs/>
          <w:lang w:val="en-GB"/>
        </w:rPr>
        <w:t>Joahnnine</w:t>
      </w:r>
      <w:proofErr w:type="spellEnd"/>
      <w:r>
        <w:rPr>
          <w:i/>
          <w:iCs/>
          <w:lang w:val="en-GB"/>
        </w:rPr>
        <w:t xml:space="preserve"> Epistles</w:t>
      </w:r>
      <w:r>
        <w:rPr>
          <w:lang w:val="en-GB"/>
        </w:rPr>
        <w:t>, 119: «True love is selfless. It is not a mere response. It gives itself. The sending of God’s Son was not the answer of God to something in man. It was the outcome of the very Nature of God».</w:t>
      </w:r>
    </w:p>
  </w:footnote>
  <w:footnote w:id="9">
    <w:p w:rsidR="00AD5EDB" w:rsidRDefault="00AD5EDB" w:rsidP="00AD5EDB">
      <w:pPr>
        <w:pStyle w:val="Textonotapie"/>
      </w:pPr>
      <w:r>
        <w:rPr>
          <w:rStyle w:val="Refdenotaalpie"/>
        </w:rPr>
        <w:footnoteRef/>
      </w:r>
      <w:r>
        <w:t xml:space="preserve"> En efecto, en la que sin duda es su obra más famosa, la </w:t>
      </w:r>
      <w:proofErr w:type="spellStart"/>
      <w:r>
        <w:rPr>
          <w:i/>
          <w:iCs/>
        </w:rPr>
        <w:t>Epistola</w:t>
      </w:r>
      <w:proofErr w:type="spellEnd"/>
      <w:r>
        <w:rPr>
          <w:i/>
          <w:iCs/>
        </w:rPr>
        <w:t xml:space="preserve"> ad </w:t>
      </w:r>
      <w:proofErr w:type="spellStart"/>
      <w:r>
        <w:rPr>
          <w:i/>
          <w:iCs/>
        </w:rPr>
        <w:t>fratres</w:t>
      </w:r>
      <w:proofErr w:type="spellEnd"/>
      <w:r>
        <w:rPr>
          <w:i/>
          <w:iCs/>
        </w:rPr>
        <w:t xml:space="preserve"> de monte Dei</w:t>
      </w:r>
      <w:r>
        <w:t xml:space="preserve">, nuestro monje expondrá cómo la memoria, cuyo papel en la </w:t>
      </w:r>
      <w:proofErr w:type="spellStart"/>
      <w:r>
        <w:rPr>
          <w:i/>
          <w:iCs/>
        </w:rPr>
        <w:t>cogitatio</w:t>
      </w:r>
      <w:proofErr w:type="spellEnd"/>
      <w:r>
        <w:t xml:space="preserve"> resulta fundamental (cf. </w:t>
      </w:r>
      <w:proofErr w:type="spellStart"/>
      <w:r>
        <w:rPr>
          <w:i/>
          <w:iCs/>
        </w:rPr>
        <w:t>EpMD</w:t>
      </w:r>
      <w:proofErr w:type="spellEnd"/>
      <w:r>
        <w:t xml:space="preserve"> 242, 358-362 [278]), se nutre precisamente de la lectura cotidiana de la Escritura, lo cual ayuda a la reflexión a no perderse en consideraciones extrañas (cf. </w:t>
      </w:r>
      <w:proofErr w:type="spellStart"/>
      <w:r>
        <w:rPr>
          <w:i/>
          <w:iCs/>
        </w:rPr>
        <w:t>ibid</w:t>
      </w:r>
      <w:proofErr w:type="spellEnd"/>
      <w:r>
        <w:t xml:space="preserve">. 122-123 [253]: «ut aliena cogitare non </w:t>
      </w:r>
      <w:proofErr w:type="spellStart"/>
      <w:r>
        <w:t>libeat</w:t>
      </w:r>
      <w:proofErr w:type="spellEnd"/>
      <w:r>
        <w:t>»).</w:t>
      </w:r>
    </w:p>
  </w:footnote>
  <w:footnote w:id="10">
    <w:p w:rsidR="00AD5EDB" w:rsidRDefault="00AD5EDB" w:rsidP="00AD5EDB">
      <w:pPr>
        <w:pStyle w:val="Textonotapie"/>
      </w:pPr>
      <w:r>
        <w:rPr>
          <w:rStyle w:val="Refdenotaalpie"/>
        </w:rPr>
        <w:footnoteRef/>
      </w:r>
      <w:r>
        <w:t xml:space="preserve"> Cf. </w:t>
      </w:r>
      <w:r>
        <w:rPr>
          <w:smallCaps/>
        </w:rPr>
        <w:t xml:space="preserve">O. González de </w:t>
      </w:r>
      <w:proofErr w:type="spellStart"/>
      <w:r>
        <w:rPr>
          <w:smallCaps/>
        </w:rPr>
        <w:t>Cardedal</w:t>
      </w:r>
      <w:proofErr w:type="spellEnd"/>
      <w:r>
        <w:t xml:space="preserve">, </w:t>
      </w:r>
      <w:r>
        <w:rPr>
          <w:i/>
          <w:iCs/>
        </w:rPr>
        <w:t>Dios</w:t>
      </w:r>
      <w:r>
        <w:t>, 12.</w:t>
      </w:r>
    </w:p>
  </w:footnote>
  <w:footnote w:id="11">
    <w:p w:rsidR="00AD5EDB" w:rsidRPr="00F7127E" w:rsidRDefault="00AD5EDB" w:rsidP="00AD5EDB">
      <w:pPr>
        <w:pStyle w:val="Textonotapie"/>
        <w:rPr>
          <w:lang w:val="fr-FR"/>
        </w:rPr>
      </w:pPr>
      <w:r>
        <w:rPr>
          <w:rStyle w:val="Refdenotaalpie"/>
        </w:rPr>
        <w:footnoteRef/>
      </w:r>
      <w:r w:rsidRPr="00F7127E">
        <w:rPr>
          <w:lang w:val="fr-FR"/>
        </w:rPr>
        <w:t xml:space="preserve"> Cf. A. </w:t>
      </w:r>
      <w:proofErr w:type="spellStart"/>
      <w:r w:rsidRPr="00D036ED">
        <w:rPr>
          <w:lang w:val="fr-FR"/>
        </w:rPr>
        <w:t>Wilm</w:t>
      </w:r>
      <w:bookmarkStart w:id="19" w:name="_GoBack"/>
      <w:bookmarkEnd w:id="19"/>
      <w:r w:rsidRPr="00D036ED">
        <w:rPr>
          <w:lang w:val="fr-FR"/>
        </w:rPr>
        <w:t>art</w:t>
      </w:r>
      <w:proofErr w:type="spellEnd"/>
      <w:r w:rsidR="00554B5D">
        <w:rPr>
          <w:smallCaps/>
        </w:rPr>
        <w:fldChar w:fldCharType="begin"/>
      </w:r>
      <w:r w:rsidRPr="00F7127E">
        <w:rPr>
          <w:smallCaps/>
          <w:lang w:val="fr-FR"/>
        </w:rPr>
        <w:instrText>"</w:instrText>
      </w:r>
      <w:r w:rsidRPr="00F7127E">
        <w:rPr>
          <w:lang w:val="fr-FR"/>
        </w:rPr>
        <w:instrText>Wilmart"</w:instrText>
      </w:r>
      <w:r w:rsidRPr="00F7127E">
        <w:rPr>
          <w:smallCaps/>
          <w:lang w:val="fr-FR"/>
        </w:rPr>
        <w:instrText xml:space="preserve"> </w:instrText>
      </w:r>
      <w:r w:rsidR="00554B5D">
        <w:rPr>
          <w:smallCaps/>
        </w:rPr>
        <w:fldChar w:fldCharType="end"/>
      </w:r>
      <w:r w:rsidRPr="00F7127E">
        <w:rPr>
          <w:lang w:val="fr-FR"/>
        </w:rPr>
        <w:t xml:space="preserve">, «La série», 165-166; </w:t>
      </w:r>
      <w:r w:rsidRPr="00F7127E">
        <w:rPr>
          <w:smallCaps/>
          <w:lang w:val="fr-FR"/>
        </w:rPr>
        <w:t>P. </w:t>
      </w:r>
      <w:proofErr w:type="spellStart"/>
      <w:r w:rsidRPr="00F7127E">
        <w:rPr>
          <w:smallCaps/>
          <w:lang w:val="fr-FR"/>
        </w:rPr>
        <w:t>Verdeyen</w:t>
      </w:r>
      <w:proofErr w:type="spellEnd"/>
      <w:r w:rsidR="00554B5D">
        <w:rPr>
          <w:smallCaps/>
        </w:rPr>
        <w:fldChar w:fldCharType="begin"/>
      </w:r>
      <w:r w:rsidRPr="00F7127E">
        <w:rPr>
          <w:smallCaps/>
          <w:lang w:val="fr-FR"/>
        </w:rPr>
        <w:instrText>"</w:instrText>
      </w:r>
      <w:r w:rsidRPr="00F7127E">
        <w:rPr>
          <w:lang w:val="fr-FR"/>
        </w:rPr>
        <w:instrText>Verdeyen"</w:instrText>
      </w:r>
      <w:r w:rsidRPr="00F7127E">
        <w:rPr>
          <w:smallCaps/>
          <w:lang w:val="fr-FR"/>
        </w:rPr>
        <w:instrText xml:space="preserve"> </w:instrText>
      </w:r>
      <w:r w:rsidR="00554B5D">
        <w:rPr>
          <w:smallCaps/>
        </w:rPr>
        <w:fldChar w:fldCharType="end"/>
      </w:r>
      <w:r w:rsidRPr="00F7127E">
        <w:rPr>
          <w:lang w:val="fr-FR"/>
        </w:rPr>
        <w:t xml:space="preserve">, «Introduction», </w:t>
      </w:r>
      <w:r w:rsidRPr="00F7127E">
        <w:rPr>
          <w:smallCaps/>
          <w:lang w:val="fr-FR"/>
        </w:rPr>
        <w:t>xvii-xxviii</w:t>
      </w:r>
      <w:r w:rsidRPr="00F7127E">
        <w:rPr>
          <w:lang w:val="fr-FR"/>
        </w:rPr>
        <w:t>.</w:t>
      </w:r>
    </w:p>
  </w:footnote>
  <w:footnote w:id="12">
    <w:p w:rsidR="00AD5EDB" w:rsidRDefault="00AD5EDB" w:rsidP="00AD5EDB">
      <w:pPr>
        <w:pStyle w:val="Textonotapie"/>
        <w:rPr>
          <w:lang w:val="en-GB"/>
        </w:rPr>
      </w:pPr>
      <w:r>
        <w:rPr>
          <w:rStyle w:val="Refdenotaalpie"/>
        </w:rPr>
        <w:footnoteRef/>
      </w:r>
      <w:r>
        <w:rPr>
          <w:lang w:val="en-GB"/>
        </w:rPr>
        <w:t xml:space="preserve"> Cf. </w:t>
      </w:r>
      <w:proofErr w:type="spellStart"/>
      <w:r>
        <w:rPr>
          <w:i/>
          <w:iCs/>
          <w:lang w:val="en-GB"/>
        </w:rPr>
        <w:t>ExRm</w:t>
      </w:r>
      <w:proofErr w:type="spellEnd"/>
      <w:r>
        <w:rPr>
          <w:lang w:val="en-GB"/>
        </w:rPr>
        <w:t> </w:t>
      </w:r>
      <w:proofErr w:type="spellStart"/>
      <w:r>
        <w:rPr>
          <w:spacing w:val="-4"/>
          <w:lang w:val="en-GB"/>
        </w:rPr>
        <w:t>Praefatio</w:t>
      </w:r>
      <w:proofErr w:type="spellEnd"/>
      <w:r>
        <w:rPr>
          <w:spacing w:val="-4"/>
          <w:lang w:val="en-GB"/>
        </w:rPr>
        <w:t xml:space="preserve"> 1-19; </w:t>
      </w:r>
      <w:r>
        <w:rPr>
          <w:smallCaps/>
          <w:spacing w:val="-4"/>
          <w:lang w:val="en-GB"/>
        </w:rPr>
        <w:t>S.R.</w:t>
      </w:r>
      <w:r>
        <w:rPr>
          <w:smallCaps/>
          <w:lang w:val="en-GB"/>
        </w:rPr>
        <w:t> </w:t>
      </w:r>
      <w:r>
        <w:rPr>
          <w:smallCaps/>
          <w:spacing w:val="-4"/>
          <w:lang w:val="en-GB"/>
        </w:rPr>
        <w:t>Cartwright</w:t>
      </w:r>
      <w:r w:rsidR="00554B5D">
        <w:rPr>
          <w:smallCaps/>
          <w:spacing w:val="-4"/>
          <w:lang w:val="en-GB"/>
        </w:rPr>
        <w:fldChar w:fldCharType="begin"/>
      </w:r>
      <w:r>
        <w:rPr>
          <w:smallCaps/>
          <w:spacing w:val="-4"/>
          <w:lang w:val="en-GB"/>
        </w:rPr>
        <w:instrText>"</w:instrText>
      </w:r>
      <w:r w:rsidRPr="00466287">
        <w:rPr>
          <w:lang w:val="en-GB"/>
        </w:rPr>
        <w:instrText>Cartwright</w:instrText>
      </w:r>
      <w:r>
        <w:rPr>
          <w:lang w:val="en-GB"/>
        </w:rPr>
        <w:instrText>"</w:instrText>
      </w:r>
      <w:r>
        <w:rPr>
          <w:smallCaps/>
          <w:spacing w:val="-4"/>
          <w:lang w:val="en-GB"/>
        </w:rPr>
        <w:instrText xml:space="preserve"> </w:instrText>
      </w:r>
      <w:r w:rsidR="00554B5D">
        <w:rPr>
          <w:smallCaps/>
          <w:spacing w:val="-4"/>
          <w:lang w:val="en-GB"/>
        </w:rPr>
        <w:fldChar w:fldCharType="end"/>
      </w:r>
      <w:r>
        <w:rPr>
          <w:spacing w:val="-4"/>
          <w:lang w:val="en-GB"/>
        </w:rPr>
        <w:t>, «William</w:t>
      </w:r>
      <w:r>
        <w:rPr>
          <w:lang w:val="en-GB"/>
        </w:rPr>
        <w:t xml:space="preserve"> </w:t>
      </w:r>
      <w:r>
        <w:rPr>
          <w:spacing w:val="-4"/>
          <w:lang w:val="en-GB"/>
        </w:rPr>
        <w:t>of Saint-Thierry’s</w:t>
      </w:r>
      <w:r>
        <w:rPr>
          <w:lang w:val="en-GB"/>
        </w:rPr>
        <w:t xml:space="preserve"> </w:t>
      </w:r>
      <w:r>
        <w:rPr>
          <w:spacing w:val="-4"/>
          <w:lang w:val="en-GB"/>
        </w:rPr>
        <w:t>use», 31-</w:t>
      </w:r>
      <w:r>
        <w:rPr>
          <w:lang w:val="en-GB"/>
        </w:rPr>
        <w:t>32.</w:t>
      </w:r>
    </w:p>
  </w:footnote>
  <w:footnote w:id="13">
    <w:p w:rsidR="00AD5EDB" w:rsidRDefault="00AD5EDB" w:rsidP="00AD5EDB">
      <w:pPr>
        <w:pStyle w:val="Textonotapie"/>
      </w:pPr>
      <w:r>
        <w:rPr>
          <w:rStyle w:val="Refdenotaalpie"/>
        </w:rPr>
        <w:footnoteRef/>
      </w:r>
      <w:r>
        <w:t xml:space="preserve"> De hecho, después de haber expuesto de una forma continua el contenido de </w:t>
      </w:r>
      <w:proofErr w:type="spellStart"/>
      <w:r>
        <w:t>Rm</w:t>
      </w:r>
      <w:proofErr w:type="spellEnd"/>
      <w:r>
        <w:t xml:space="preserve"> 1,18-21, Guillermo vuelve sobre el tema, como queriendo profundizar en lo que allí simplemente había apuntado: «Sed </w:t>
      </w:r>
      <w:proofErr w:type="spellStart"/>
      <w:r>
        <w:t>quia</w:t>
      </w:r>
      <w:proofErr w:type="spellEnd"/>
      <w:r>
        <w:t xml:space="preserve"> </w:t>
      </w:r>
      <w:proofErr w:type="spellStart"/>
      <w:r>
        <w:t>haec</w:t>
      </w:r>
      <w:proofErr w:type="spellEnd"/>
      <w:r>
        <w:t xml:space="preserve"> ad </w:t>
      </w:r>
      <w:proofErr w:type="spellStart"/>
      <w:r>
        <w:t>declarandam</w:t>
      </w:r>
      <w:proofErr w:type="spellEnd"/>
      <w:r>
        <w:t xml:space="preserve"> </w:t>
      </w:r>
      <w:proofErr w:type="spellStart"/>
      <w:r>
        <w:t>rei</w:t>
      </w:r>
      <w:proofErr w:type="spellEnd"/>
      <w:r>
        <w:t xml:space="preserve"> </w:t>
      </w:r>
      <w:proofErr w:type="spellStart"/>
      <w:r>
        <w:t>seriem</w:t>
      </w:r>
      <w:proofErr w:type="spellEnd"/>
      <w:r>
        <w:t xml:space="preserve"> per </w:t>
      </w:r>
      <w:proofErr w:type="spellStart"/>
      <w:r>
        <w:t>transcursum</w:t>
      </w:r>
      <w:proofErr w:type="spellEnd"/>
      <w:r>
        <w:t xml:space="preserve"> dicta </w:t>
      </w:r>
      <w:proofErr w:type="spellStart"/>
      <w:r>
        <w:t>sunt</w:t>
      </w:r>
      <w:proofErr w:type="spellEnd"/>
      <w:r>
        <w:t xml:space="preserve">, </w:t>
      </w:r>
      <w:proofErr w:type="spellStart"/>
      <w:r>
        <w:t>paululum</w:t>
      </w:r>
      <w:proofErr w:type="spellEnd"/>
      <w:r>
        <w:t xml:space="preserve"> ad superiora </w:t>
      </w:r>
      <w:proofErr w:type="spellStart"/>
      <w:r>
        <w:t>redeundum</w:t>
      </w:r>
      <w:proofErr w:type="spellEnd"/>
      <w:r>
        <w:t xml:space="preserve"> </w:t>
      </w:r>
      <w:proofErr w:type="spellStart"/>
      <w:r>
        <w:t>est</w:t>
      </w:r>
      <w:proofErr w:type="spellEnd"/>
      <w:r>
        <w:t>» (</w:t>
      </w:r>
      <w:proofErr w:type="spellStart"/>
      <w:r>
        <w:rPr>
          <w:i/>
          <w:iCs/>
        </w:rPr>
        <w:t>ExRm</w:t>
      </w:r>
      <w:proofErr w:type="spellEnd"/>
      <w:r>
        <w:t xml:space="preserve"> I [1,23-24] 486-487).</w:t>
      </w:r>
    </w:p>
  </w:footnote>
  <w:footnote w:id="14">
    <w:p w:rsidR="00AD5EDB" w:rsidRDefault="00AD5EDB" w:rsidP="00AD5EDB">
      <w:pPr>
        <w:pStyle w:val="Textonotapie"/>
      </w:pPr>
      <w:r>
        <w:rPr>
          <w:rStyle w:val="Refdenotaalpie"/>
        </w:rPr>
        <w:footnoteRef/>
      </w:r>
      <w:r>
        <w:t xml:space="preserve"> </w:t>
      </w:r>
      <w:proofErr w:type="spellStart"/>
      <w:r>
        <w:rPr>
          <w:i/>
          <w:iCs/>
        </w:rPr>
        <w:t>ExRm</w:t>
      </w:r>
      <w:proofErr w:type="spellEnd"/>
      <w:r>
        <w:t xml:space="preserve"> I (1,18-21) 579-584.</w:t>
      </w:r>
    </w:p>
  </w:footnote>
  <w:footnote w:id="15">
    <w:p w:rsidR="00AD5EDB" w:rsidRDefault="00AD5EDB" w:rsidP="00AD5EDB">
      <w:pPr>
        <w:pStyle w:val="Textonotapie"/>
      </w:pPr>
      <w:r>
        <w:rPr>
          <w:rStyle w:val="Refdenotaalpie"/>
        </w:rPr>
        <w:footnoteRef/>
      </w:r>
      <w:r>
        <w:t xml:space="preserve"> Cf. </w:t>
      </w:r>
      <w:r>
        <w:rPr>
          <w:iCs/>
          <w:smallCaps/>
        </w:rPr>
        <w:t>G. Como</w:t>
      </w:r>
      <w:r w:rsidR="00554B5D">
        <w:rPr>
          <w:iCs/>
          <w:smallCaps/>
        </w:rPr>
        <w:fldChar w:fldCharType="begin"/>
      </w:r>
      <w:r>
        <w:rPr>
          <w:iCs/>
          <w:smallCaps/>
        </w:rPr>
        <w:instrText>"</w:instrText>
      </w:r>
      <w:r w:rsidRPr="00466287">
        <w:instrText>Como</w:instrText>
      </w:r>
      <w:r>
        <w:instrText>"</w:instrText>
      </w:r>
      <w:r>
        <w:rPr>
          <w:iCs/>
          <w:smallCaps/>
        </w:rPr>
        <w:instrText xml:space="preserve"> </w:instrText>
      </w:r>
      <w:r w:rsidR="00554B5D">
        <w:rPr>
          <w:iCs/>
          <w:smallCaps/>
        </w:rPr>
        <w:fldChar w:fldCharType="end"/>
      </w:r>
      <w:r>
        <w:rPr>
          <w:iCs/>
          <w:smallCaps/>
        </w:rPr>
        <w:t xml:space="preserve">, </w:t>
      </w:r>
      <w:proofErr w:type="spellStart"/>
      <w:r>
        <w:rPr>
          <w:i/>
        </w:rPr>
        <w:t>Ignis</w:t>
      </w:r>
      <w:proofErr w:type="spellEnd"/>
      <w:r>
        <w:rPr>
          <w:i/>
        </w:rPr>
        <w:t xml:space="preserve"> </w:t>
      </w:r>
      <w:proofErr w:type="spellStart"/>
      <w:r>
        <w:rPr>
          <w:i/>
        </w:rPr>
        <w:t>amoris</w:t>
      </w:r>
      <w:proofErr w:type="spellEnd"/>
      <w:r>
        <w:rPr>
          <w:i/>
        </w:rPr>
        <w:t xml:space="preserve"> Dei</w:t>
      </w:r>
      <w:r>
        <w:rPr>
          <w:iCs/>
        </w:rPr>
        <w:t>, 288. Con</w:t>
      </w:r>
      <w:r>
        <w:t xml:space="preserve"> esta expresión, Como resume esta idea expresada por Paul </w:t>
      </w:r>
      <w:proofErr w:type="spellStart"/>
      <w:r>
        <w:t>Vedeyen</w:t>
      </w:r>
      <w:proofErr w:type="spellEnd"/>
      <w:r>
        <w:t xml:space="preserve"> en su célebre estudio sobre la teología mística de nuestro </w:t>
      </w:r>
      <w:r w:rsidRPr="00EC65D4">
        <w:rPr>
          <w:rStyle w:val="Apretadito1"/>
        </w:rPr>
        <w:t xml:space="preserve">autor: «Guillaume a </w:t>
      </w:r>
      <w:proofErr w:type="spellStart"/>
      <w:r w:rsidRPr="00EC65D4">
        <w:rPr>
          <w:rStyle w:val="Apretadito1"/>
        </w:rPr>
        <w:t>élaboré</w:t>
      </w:r>
      <w:proofErr w:type="spellEnd"/>
      <w:r w:rsidRPr="00EC65D4">
        <w:rPr>
          <w:rStyle w:val="Apretadito1"/>
        </w:rPr>
        <w:t xml:space="preserve"> une </w:t>
      </w:r>
      <w:proofErr w:type="spellStart"/>
      <w:r w:rsidRPr="00EC65D4">
        <w:rPr>
          <w:rStyle w:val="Apretadito1"/>
        </w:rPr>
        <w:t>nouvelle</w:t>
      </w:r>
      <w:proofErr w:type="spellEnd"/>
      <w:r w:rsidRPr="00EC65D4">
        <w:rPr>
          <w:rStyle w:val="Apretadito1"/>
        </w:rPr>
        <w:t xml:space="preserve"> </w:t>
      </w:r>
      <w:proofErr w:type="spellStart"/>
      <w:r w:rsidRPr="00EC65D4">
        <w:rPr>
          <w:rStyle w:val="Apretadito1"/>
        </w:rPr>
        <w:t>théologie</w:t>
      </w:r>
      <w:proofErr w:type="spellEnd"/>
      <w:r w:rsidRPr="00EC65D4">
        <w:rPr>
          <w:rStyle w:val="Apretadito1"/>
        </w:rPr>
        <w:t xml:space="preserve"> </w:t>
      </w:r>
      <w:proofErr w:type="spellStart"/>
      <w:r w:rsidRPr="00EC65D4">
        <w:rPr>
          <w:rStyle w:val="Apretadito1"/>
        </w:rPr>
        <w:t>trinitaire</w:t>
      </w:r>
      <w:proofErr w:type="spellEnd"/>
      <w:r w:rsidRPr="00EC65D4">
        <w:rPr>
          <w:rStyle w:val="Apretadito1"/>
        </w:rPr>
        <w:t xml:space="preserve">, </w:t>
      </w:r>
      <w:proofErr w:type="spellStart"/>
      <w:r w:rsidRPr="00EC65D4">
        <w:rPr>
          <w:rStyle w:val="Apretadito1"/>
        </w:rPr>
        <w:t>inconnue</w:t>
      </w:r>
      <w:proofErr w:type="spellEnd"/>
      <w:r>
        <w:t xml:space="preserve"> en </w:t>
      </w:r>
      <w:proofErr w:type="spellStart"/>
      <w:r>
        <w:t>Occident</w:t>
      </w:r>
      <w:proofErr w:type="spellEnd"/>
      <w:r>
        <w:t xml:space="preserve">, </w:t>
      </w:r>
      <w:proofErr w:type="spellStart"/>
      <w:r>
        <w:t>pour</w:t>
      </w:r>
      <w:proofErr w:type="spellEnd"/>
      <w:r>
        <w:t xml:space="preserve"> </w:t>
      </w:r>
      <w:proofErr w:type="spellStart"/>
      <w:r>
        <w:t>donner</w:t>
      </w:r>
      <w:proofErr w:type="spellEnd"/>
      <w:r>
        <w:t xml:space="preserve"> </w:t>
      </w:r>
      <w:proofErr w:type="spellStart"/>
      <w:r>
        <w:t>fondement</w:t>
      </w:r>
      <w:proofErr w:type="spellEnd"/>
      <w:r>
        <w:t xml:space="preserve"> à </w:t>
      </w:r>
      <w:proofErr w:type="spellStart"/>
      <w:r>
        <w:t>sa</w:t>
      </w:r>
      <w:proofErr w:type="spellEnd"/>
      <w:r>
        <w:t xml:space="preserve"> doctrine </w:t>
      </w:r>
      <w:proofErr w:type="spellStart"/>
      <w:r>
        <w:t>spirituelle</w:t>
      </w:r>
      <w:proofErr w:type="spellEnd"/>
      <w:r>
        <w:t>» (P. </w:t>
      </w:r>
      <w:proofErr w:type="spellStart"/>
      <w:r>
        <w:rPr>
          <w:smallCaps/>
        </w:rPr>
        <w:t>Verdeyen</w:t>
      </w:r>
      <w:proofErr w:type="spellEnd"/>
      <w:r w:rsidR="00554B5D">
        <w:rPr>
          <w:smallCaps/>
        </w:rPr>
        <w:fldChar w:fldCharType="begin"/>
      </w:r>
      <w:r>
        <w:rPr>
          <w:smallCaps/>
        </w:rPr>
        <w:instrText>"</w:instrText>
      </w:r>
      <w:r w:rsidRPr="00F7127E">
        <w:instrText>Verdeyen"</w:instrText>
      </w:r>
      <w:r>
        <w:rPr>
          <w:smallCaps/>
        </w:rPr>
        <w:instrText xml:space="preserve"> </w:instrText>
      </w:r>
      <w:r w:rsidR="00554B5D">
        <w:rPr>
          <w:smallCaps/>
        </w:rPr>
        <w:fldChar w:fldCharType="end"/>
      </w:r>
      <w:r>
        <w:t>,</w:t>
      </w:r>
      <w:r>
        <w:rPr>
          <w:i/>
        </w:rPr>
        <w:t xml:space="preserve"> La </w:t>
      </w:r>
      <w:proofErr w:type="spellStart"/>
      <w:r>
        <w:rPr>
          <w:i/>
        </w:rPr>
        <w:t>théologie</w:t>
      </w:r>
      <w:proofErr w:type="spellEnd"/>
      <w:r>
        <w:rPr>
          <w:i/>
        </w:rPr>
        <w:t xml:space="preserve"> </w:t>
      </w:r>
      <w:proofErr w:type="spellStart"/>
      <w:r>
        <w:rPr>
          <w:i/>
        </w:rPr>
        <w:t>mystique</w:t>
      </w:r>
      <w:proofErr w:type="spellEnd"/>
      <w:r>
        <w:rPr>
          <w:iCs/>
        </w:rPr>
        <w:t>, 98).</w:t>
      </w:r>
    </w:p>
  </w:footnote>
  <w:footnote w:id="16">
    <w:p w:rsidR="00AD5EDB" w:rsidRDefault="00AD5EDB" w:rsidP="00AD5EDB">
      <w:pPr>
        <w:pStyle w:val="Textonotapie"/>
      </w:pPr>
      <w:r>
        <w:rPr>
          <w:rStyle w:val="Refdenotaalpie"/>
        </w:rPr>
        <w:footnoteRef/>
      </w:r>
      <w:r>
        <w:t xml:space="preserve"> Seguimos el orden cronológico de las obras propuesto por P.</w:t>
      </w:r>
      <w:r>
        <w:rPr>
          <w:smallCaps/>
        </w:rPr>
        <w:t> </w:t>
      </w:r>
      <w:proofErr w:type="spellStart"/>
      <w:r>
        <w:rPr>
          <w:smallCaps/>
        </w:rPr>
        <w:t>Verdeyen</w:t>
      </w:r>
      <w:proofErr w:type="spellEnd"/>
      <w:r>
        <w:t>,</w:t>
      </w:r>
      <w:r w:rsidRPr="003B7D89">
        <w:t xml:space="preserve"> «</w:t>
      </w:r>
      <w:proofErr w:type="spellStart"/>
      <w:r w:rsidRPr="003B7D89">
        <w:t>Introduction</w:t>
      </w:r>
      <w:proofErr w:type="spellEnd"/>
      <w:r w:rsidRPr="003B7D89">
        <w:t xml:space="preserve"> </w:t>
      </w:r>
      <w:proofErr w:type="spellStart"/>
      <w:r w:rsidRPr="003B7D89">
        <w:t>generale</w:t>
      </w:r>
      <w:proofErr w:type="spellEnd"/>
      <w:r w:rsidRPr="003B7D89">
        <w:t xml:space="preserve">», </w:t>
      </w:r>
      <w:r w:rsidRPr="003B7D89">
        <w:rPr>
          <w:smallCaps/>
        </w:rPr>
        <w:t>xxiii-xxxi</w:t>
      </w:r>
      <w:r>
        <w:t>, indicando, en primer lugar, la edición de cada obra que aparece citada en el texto de la tesis. Después nos referimos también a aquellas otras versiones de las que nos hemos servido más abundantemente en nuestro trabajo, haciendo especial hincapié en las traducciones castellanas.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7CDD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BC0617"/>
    <w:multiLevelType w:val="multilevel"/>
    <w:tmpl w:val="9C889424"/>
    <w:lvl w:ilvl="0">
      <w:start w:val="1"/>
      <w:numFmt w:val="upperRoman"/>
      <w:pStyle w:val="Ttulo1previo"/>
      <w:suff w:val="nothing"/>
      <w:lvlText w:val="CAPÍTULO %1"/>
      <w:lvlJc w:val="left"/>
      <w:pPr>
        <w:ind w:left="432" w:hanging="432"/>
      </w:pPr>
      <w:rPr>
        <w:rFonts w:ascii="Times New Roman" w:hAnsi="Times New Roman" w:cs="Times New Roman"/>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Ttulo2"/>
      <w:suff w:val="nothing"/>
      <w:lvlText w:val="%2. "/>
      <w:lvlJc w:val="left"/>
      <w:pPr>
        <w:ind w:left="576" w:hanging="576"/>
      </w:pPr>
      <w:rPr>
        <w:rFonts w:ascii="Times New Roman" w:hAnsi="Times New Roman" w:hint="default"/>
        <w:b w:val="0"/>
        <w:i w:val="0"/>
        <w:sz w:val="28"/>
      </w:rPr>
    </w:lvl>
    <w:lvl w:ilvl="2">
      <w:start w:val="1"/>
      <w:numFmt w:val="decimal"/>
      <w:pStyle w:val="Ttulo3"/>
      <w:suff w:val="nothing"/>
      <w:lvlText w:val="%2.%3  "/>
      <w:lvlJc w:val="left"/>
      <w:pPr>
        <w:ind w:left="720" w:hanging="720"/>
      </w:pPr>
      <w:rPr>
        <w:rFonts w:ascii="Times New Roman" w:hAnsi="Times New Roman" w:hint="default"/>
        <w:b w:val="0"/>
        <w:i w:val="0"/>
        <w:sz w:val="28"/>
      </w:rPr>
    </w:lvl>
    <w:lvl w:ilvl="3">
      <w:start w:val="1"/>
      <w:numFmt w:val="decimal"/>
      <w:pStyle w:val="Ttulo4"/>
      <w:suff w:val="nothing"/>
      <w:lvlText w:val="%2.%3.%4  "/>
      <w:lvlJc w:val="left"/>
      <w:pPr>
        <w:ind w:left="864" w:hanging="580"/>
      </w:pPr>
      <w:rPr>
        <w:rFonts w:ascii="Times New Roman" w:hAnsi="Times New Roman" w:hint="default"/>
        <w:b w:val="0"/>
        <w:i w:val="0"/>
        <w:sz w:val="28"/>
      </w:rPr>
    </w:lvl>
    <w:lvl w:ilvl="4">
      <w:start w:val="1"/>
      <w:numFmt w:val="lowerLetter"/>
      <w:pStyle w:val="Ttulo5"/>
      <w:suff w:val="nothing"/>
      <w:lvlText w:val="%5) "/>
      <w:lvlJc w:val="left"/>
      <w:pPr>
        <w:ind w:left="1008" w:hanging="724"/>
      </w:pPr>
      <w:rPr>
        <w:rFonts w:ascii="Times New Roman" w:hAnsi="Times New Roman" w:hint="default"/>
        <w:b w:val="0"/>
        <w:i w:val="0"/>
        <w:sz w:val="28"/>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AFA4D24"/>
    <w:multiLevelType w:val="hybridMultilevel"/>
    <w:tmpl w:val="1AD4C0F8"/>
    <w:lvl w:ilvl="0" w:tplc="38BE4494">
      <w:start w:val="1"/>
      <w:numFmt w:val="bullet"/>
      <w:lvlText w:val=""/>
      <w:lvlJc w:val="left"/>
      <w:pPr>
        <w:tabs>
          <w:tab w:val="num" w:pos="928"/>
        </w:tabs>
        <w:ind w:left="928" w:hanging="360"/>
      </w:pPr>
      <w:rPr>
        <w:rFonts w:ascii="Symbol" w:hAnsi="Symbol" w:hint="default"/>
        <w:color w:val="auto"/>
      </w:rPr>
    </w:lvl>
    <w:lvl w:ilvl="1" w:tplc="2D163090">
      <w:start w:val="1"/>
      <w:numFmt w:val="bullet"/>
      <w:lvlText w:val=""/>
      <w:lvlJc w:val="left"/>
      <w:pPr>
        <w:tabs>
          <w:tab w:val="num" w:pos="653"/>
        </w:tabs>
        <w:ind w:left="651" w:hanging="358"/>
      </w:pPr>
      <w:rPr>
        <w:rFonts w:ascii="Symbol" w:hAnsi="Symbol" w:hint="default"/>
      </w:rPr>
    </w:lvl>
    <w:lvl w:ilvl="2" w:tplc="0C0A0005" w:tentative="1">
      <w:start w:val="1"/>
      <w:numFmt w:val="bullet"/>
      <w:lvlText w:val=""/>
      <w:lvlJc w:val="left"/>
      <w:pPr>
        <w:tabs>
          <w:tab w:val="num" w:pos="1373"/>
        </w:tabs>
        <w:ind w:left="1373" w:hanging="360"/>
      </w:pPr>
      <w:rPr>
        <w:rFonts w:ascii="Wingdings" w:hAnsi="Wingdings" w:hint="default"/>
      </w:rPr>
    </w:lvl>
    <w:lvl w:ilvl="3" w:tplc="0C0A0001" w:tentative="1">
      <w:start w:val="1"/>
      <w:numFmt w:val="bullet"/>
      <w:lvlText w:val=""/>
      <w:lvlJc w:val="left"/>
      <w:pPr>
        <w:tabs>
          <w:tab w:val="num" w:pos="2093"/>
        </w:tabs>
        <w:ind w:left="2093" w:hanging="360"/>
      </w:pPr>
      <w:rPr>
        <w:rFonts w:ascii="Symbol" w:hAnsi="Symbol" w:hint="default"/>
      </w:rPr>
    </w:lvl>
    <w:lvl w:ilvl="4" w:tplc="0C0A0003" w:tentative="1">
      <w:start w:val="1"/>
      <w:numFmt w:val="bullet"/>
      <w:lvlText w:val="o"/>
      <w:lvlJc w:val="left"/>
      <w:pPr>
        <w:tabs>
          <w:tab w:val="num" w:pos="2813"/>
        </w:tabs>
        <w:ind w:left="2813" w:hanging="360"/>
      </w:pPr>
      <w:rPr>
        <w:rFonts w:ascii="Courier New" w:hAnsi="Courier New" w:hint="default"/>
      </w:rPr>
    </w:lvl>
    <w:lvl w:ilvl="5" w:tplc="0C0A0005" w:tentative="1">
      <w:start w:val="1"/>
      <w:numFmt w:val="bullet"/>
      <w:lvlText w:val=""/>
      <w:lvlJc w:val="left"/>
      <w:pPr>
        <w:tabs>
          <w:tab w:val="num" w:pos="3533"/>
        </w:tabs>
        <w:ind w:left="3533" w:hanging="360"/>
      </w:pPr>
      <w:rPr>
        <w:rFonts w:ascii="Wingdings" w:hAnsi="Wingdings" w:hint="default"/>
      </w:rPr>
    </w:lvl>
    <w:lvl w:ilvl="6" w:tplc="0C0A0001" w:tentative="1">
      <w:start w:val="1"/>
      <w:numFmt w:val="bullet"/>
      <w:lvlText w:val=""/>
      <w:lvlJc w:val="left"/>
      <w:pPr>
        <w:tabs>
          <w:tab w:val="num" w:pos="4253"/>
        </w:tabs>
        <w:ind w:left="4253" w:hanging="360"/>
      </w:pPr>
      <w:rPr>
        <w:rFonts w:ascii="Symbol" w:hAnsi="Symbol" w:hint="default"/>
      </w:rPr>
    </w:lvl>
    <w:lvl w:ilvl="7" w:tplc="0C0A0003" w:tentative="1">
      <w:start w:val="1"/>
      <w:numFmt w:val="bullet"/>
      <w:lvlText w:val="o"/>
      <w:lvlJc w:val="left"/>
      <w:pPr>
        <w:tabs>
          <w:tab w:val="num" w:pos="4973"/>
        </w:tabs>
        <w:ind w:left="4973" w:hanging="360"/>
      </w:pPr>
      <w:rPr>
        <w:rFonts w:ascii="Courier New" w:hAnsi="Courier New" w:hint="default"/>
      </w:rPr>
    </w:lvl>
    <w:lvl w:ilvl="8" w:tplc="0C0A0005" w:tentative="1">
      <w:start w:val="1"/>
      <w:numFmt w:val="bullet"/>
      <w:lvlText w:val=""/>
      <w:lvlJc w:val="left"/>
      <w:pPr>
        <w:tabs>
          <w:tab w:val="num" w:pos="5693"/>
        </w:tabs>
        <w:ind w:left="5693" w:hanging="360"/>
      </w:pPr>
      <w:rPr>
        <w:rFonts w:ascii="Wingdings" w:hAnsi="Wingdings" w:hint="default"/>
      </w:rPr>
    </w:lvl>
  </w:abstractNum>
  <w:abstractNum w:abstractNumId="3" w15:restartNumberingAfterBreak="0">
    <w:nsid w:val="437B7598"/>
    <w:multiLevelType w:val="multilevel"/>
    <w:tmpl w:val="0016A588"/>
    <w:lvl w:ilvl="0">
      <w:start w:val="1"/>
      <w:numFmt w:val="decimal"/>
      <w:suff w:val="nothing"/>
      <w:lvlText w:val="%1. "/>
      <w:lvlJc w:val="left"/>
      <w:pPr>
        <w:ind w:left="432" w:hanging="432"/>
      </w:pPr>
      <w:rPr>
        <w:rFonts w:ascii="Times New Roman" w:hAnsi="Times New Roman" w:hint="default"/>
        <w:b w:val="0"/>
        <w:i w:val="0"/>
        <w:sz w:val="28"/>
      </w:rPr>
    </w:lvl>
    <w:lvl w:ilvl="1">
      <w:start w:val="1"/>
      <w:numFmt w:val="decimal"/>
      <w:suff w:val="nothing"/>
      <w:lvlText w:val="%1.%2  "/>
      <w:lvlJc w:val="left"/>
      <w:pPr>
        <w:ind w:left="576" w:hanging="576"/>
      </w:pPr>
      <w:rPr>
        <w:rFonts w:ascii="Times New Roman" w:hAnsi="Times New Roman" w:hint="default"/>
        <w:b w:val="0"/>
        <w:i w:val="0"/>
        <w:sz w:val="28"/>
      </w:rPr>
    </w:lvl>
    <w:lvl w:ilvl="2">
      <w:start w:val="1"/>
      <w:numFmt w:val="decimal"/>
      <w:lvlText w:val="%1.%2.%3  "/>
      <w:lvlJc w:val="left"/>
      <w:pPr>
        <w:tabs>
          <w:tab w:val="num" w:pos="720"/>
        </w:tabs>
        <w:ind w:left="720" w:hanging="720"/>
      </w:pPr>
      <w:rPr>
        <w:rFonts w:ascii="Times New Roman" w:hAnsi="Times New Roman" w:hint="default"/>
        <w:b w:val="0"/>
        <w:i w:val="0"/>
        <w:sz w:val="28"/>
      </w:rPr>
    </w:lvl>
    <w:lvl w:ilvl="3">
      <w:start w:val="1"/>
      <w:numFmt w:val="lowerLetter"/>
      <w:suff w:val="nothing"/>
      <w:lvlText w:val="%4) "/>
      <w:lvlJc w:val="left"/>
      <w:pPr>
        <w:ind w:left="864" w:hanging="580"/>
      </w:pPr>
      <w:rPr>
        <w:rFonts w:ascii="Times New Roman" w:hAnsi="Times New Roman" w:hint="default"/>
        <w:b w:val="0"/>
        <w:i w:val="0"/>
        <w:sz w:val="28"/>
      </w:rPr>
    </w:lvl>
    <w:lvl w:ilvl="4">
      <w:start w:val="1"/>
      <w:numFmt w:val="none"/>
      <w:suff w:val="nothing"/>
      <w:lvlText w:val="+ "/>
      <w:lvlJc w:val="left"/>
      <w:pPr>
        <w:ind w:left="1008" w:hanging="724"/>
      </w:pPr>
      <w:rPr>
        <w:rFonts w:ascii="Times New Roman" w:hAnsi="Times New Roman" w:hint="default"/>
        <w:b w:val="0"/>
        <w:i w:val="0"/>
        <w:sz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8F44B84"/>
    <w:multiLevelType w:val="multilevel"/>
    <w:tmpl w:val="08C6DD82"/>
    <w:lvl w:ilvl="0">
      <w:start w:val="1"/>
      <w:numFmt w:val="none"/>
      <w:pStyle w:val="Titulo1previosinnumerar"/>
      <w:suff w:val="nothing"/>
      <w:lvlText w:val=""/>
      <w:lvlJc w:val="left"/>
      <w:pPr>
        <w:ind w:left="432" w:hanging="432"/>
      </w:pPr>
      <w:rPr>
        <w:rFonts w:ascii="Times New Roman" w:hAnsi="Times New Roman" w:hint="default"/>
        <w:b w:val="0"/>
        <w:i w:val="0"/>
        <w:sz w:val="28"/>
      </w:rPr>
    </w:lvl>
    <w:lvl w:ilvl="1">
      <w:start w:val="1"/>
      <w:numFmt w:val="decimal"/>
      <w:suff w:val="nothing"/>
      <w:lvlText w:val="%2. "/>
      <w:lvlJc w:val="left"/>
      <w:pPr>
        <w:ind w:left="576" w:hanging="576"/>
      </w:pPr>
      <w:rPr>
        <w:rFonts w:ascii="Times New Roman" w:hAnsi="Times New Roman" w:hint="default"/>
        <w:b w:val="0"/>
        <w:i w:val="0"/>
        <w:sz w:val="28"/>
      </w:rPr>
    </w:lvl>
    <w:lvl w:ilvl="2">
      <w:start w:val="1"/>
      <w:numFmt w:val="decimal"/>
      <w:suff w:val="nothing"/>
      <w:lvlText w:val="%2.%3  "/>
      <w:lvlJc w:val="left"/>
      <w:pPr>
        <w:ind w:left="720" w:hanging="720"/>
      </w:pPr>
      <w:rPr>
        <w:rFonts w:ascii="Times New Roman" w:hAnsi="Times New Roman" w:hint="default"/>
        <w:b w:val="0"/>
        <w:i w:val="0"/>
        <w:sz w:val="28"/>
      </w:rPr>
    </w:lvl>
    <w:lvl w:ilvl="3">
      <w:start w:val="1"/>
      <w:numFmt w:val="decimal"/>
      <w:suff w:val="nothing"/>
      <w:lvlText w:val="%2.%3.%4  "/>
      <w:lvlJc w:val="left"/>
      <w:pPr>
        <w:ind w:left="864" w:hanging="580"/>
      </w:pPr>
      <w:rPr>
        <w:rFonts w:ascii="Times New Roman" w:hAnsi="Times New Roman" w:hint="default"/>
        <w:b w:val="0"/>
        <w:i w:val="0"/>
        <w:sz w:val="28"/>
      </w:rPr>
    </w:lvl>
    <w:lvl w:ilvl="4">
      <w:start w:val="1"/>
      <w:numFmt w:val="lowerLetter"/>
      <w:suff w:val="nothing"/>
      <w:lvlText w:val="%5) "/>
      <w:lvlJc w:val="left"/>
      <w:pPr>
        <w:ind w:left="1008" w:hanging="724"/>
      </w:pPr>
      <w:rPr>
        <w:rFonts w:ascii="Times New Roman" w:hAnsi="Times New Roman" w:hint="default"/>
        <w:b w:val="0"/>
        <w:i w:val="0"/>
        <w:sz w:val="28"/>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056EFB"/>
    <w:multiLevelType w:val="multilevel"/>
    <w:tmpl w:val="B69608EC"/>
    <w:lvl w:ilvl="0">
      <w:start w:val="1"/>
      <w:numFmt w:val="upperRoman"/>
      <w:pStyle w:val="TDC1"/>
      <w:suff w:val="nothing"/>
      <w:lvlText w:val="CAPÍTULO %1: "/>
      <w:lvlJc w:val="left"/>
      <w:pPr>
        <w:ind w:left="432" w:hanging="432"/>
      </w:pPr>
      <w:rPr>
        <w:rFonts w:ascii="Times New Roman" w:hAnsi="Times New Roman" w:hint="default"/>
        <w:b w:val="0"/>
        <w:i w:val="0"/>
        <w:caps w:val="0"/>
        <w:smallCaps/>
        <w:sz w:val="26"/>
        <w:szCs w:val="26"/>
      </w:rPr>
    </w:lvl>
    <w:lvl w:ilvl="1">
      <w:start w:val="1"/>
      <w:numFmt w:val="decimal"/>
      <w:suff w:val="nothing"/>
      <w:lvlText w:val="%1.%2  "/>
      <w:lvlJc w:val="left"/>
      <w:pPr>
        <w:ind w:left="576" w:hanging="576"/>
      </w:pPr>
      <w:rPr>
        <w:rFonts w:ascii="Times New Roman" w:hAnsi="Times New Roman" w:hint="default"/>
        <w:b w:val="0"/>
        <w:i w:val="0"/>
        <w:sz w:val="28"/>
      </w:rPr>
    </w:lvl>
    <w:lvl w:ilvl="2">
      <w:start w:val="1"/>
      <w:numFmt w:val="decimal"/>
      <w:suff w:val="nothing"/>
      <w:lvlText w:val="%1.%2.%3  "/>
      <w:lvlJc w:val="left"/>
      <w:pPr>
        <w:ind w:left="720" w:hanging="720"/>
      </w:pPr>
      <w:rPr>
        <w:rFonts w:ascii="Times New Roman" w:hAnsi="Times New Roman" w:hint="default"/>
        <w:b w:val="0"/>
        <w:i w:val="0"/>
        <w:sz w:val="28"/>
      </w:rPr>
    </w:lvl>
    <w:lvl w:ilvl="3">
      <w:start w:val="1"/>
      <w:numFmt w:val="lowerLetter"/>
      <w:suff w:val="nothing"/>
      <w:lvlText w:val="%4) "/>
      <w:lvlJc w:val="left"/>
      <w:pPr>
        <w:ind w:left="864" w:hanging="580"/>
      </w:pPr>
      <w:rPr>
        <w:rFonts w:ascii="Times New Roman" w:hAnsi="Times New Roman" w:hint="default"/>
        <w:b w:val="0"/>
        <w:i w:val="0"/>
        <w:sz w:val="28"/>
      </w:rPr>
    </w:lvl>
    <w:lvl w:ilvl="4">
      <w:start w:val="1"/>
      <w:numFmt w:val="none"/>
      <w:suff w:val="nothing"/>
      <w:lvlText w:val="+ "/>
      <w:lvlJc w:val="left"/>
      <w:pPr>
        <w:ind w:left="1008" w:hanging="724"/>
      </w:pPr>
      <w:rPr>
        <w:rFonts w:ascii="Times New Roman" w:hAnsi="Times New Roman" w:hint="default"/>
        <w:b w:val="0"/>
        <w:i w:val="0"/>
        <w:sz w:val="28"/>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4"/>
  </w:num>
  <w:num w:numId="8">
    <w:abstractNumId w:val="1"/>
  </w:num>
  <w:num w:numId="9">
    <w:abstractNumId w:val="1"/>
  </w:num>
  <w:num w:numId="10">
    <w:abstractNumId w:val="1"/>
  </w:num>
  <w:num w:numId="11">
    <w:abstractNumId w:val="1"/>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EDB"/>
    <w:rsid w:val="00007E6A"/>
    <w:rsid w:val="000D2037"/>
    <w:rsid w:val="000E2EBD"/>
    <w:rsid w:val="00225228"/>
    <w:rsid w:val="002C2762"/>
    <w:rsid w:val="002D6FC0"/>
    <w:rsid w:val="00395AFE"/>
    <w:rsid w:val="00554B5D"/>
    <w:rsid w:val="005662B9"/>
    <w:rsid w:val="00665820"/>
    <w:rsid w:val="006A1D91"/>
    <w:rsid w:val="006C7BE8"/>
    <w:rsid w:val="007F0091"/>
    <w:rsid w:val="008C75C4"/>
    <w:rsid w:val="00931CAC"/>
    <w:rsid w:val="009E6EF5"/>
    <w:rsid w:val="00AD5EDB"/>
    <w:rsid w:val="00BA08FA"/>
    <w:rsid w:val="00C85927"/>
    <w:rsid w:val="00D036ED"/>
    <w:rsid w:val="00FC50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542D"/>
  <w15:docId w15:val="{C9287592-50CC-1540-A7B8-00B908F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EDB"/>
    <w:pPr>
      <w:spacing w:after="0" w:line="240" w:lineRule="auto"/>
      <w:ind w:firstLine="284"/>
      <w:jc w:val="both"/>
    </w:pPr>
    <w:rPr>
      <w:rFonts w:ascii="Times New Roman" w:eastAsia="Times New Roman" w:hAnsi="Times New Roman" w:cs="Times New Roman"/>
      <w:sz w:val="28"/>
      <w:szCs w:val="24"/>
      <w:lang w:eastAsia="es-ES"/>
    </w:rPr>
  </w:style>
  <w:style w:type="paragraph" w:styleId="Ttulo1">
    <w:name w:val="heading 1"/>
    <w:basedOn w:val="Normal"/>
    <w:next w:val="Normal"/>
    <w:link w:val="Ttulo1Car"/>
    <w:qFormat/>
    <w:rsid w:val="00AD5EDB"/>
    <w:pPr>
      <w:keepNext/>
      <w:spacing w:after="1200"/>
      <w:ind w:firstLine="0"/>
      <w:jc w:val="center"/>
      <w:outlineLvl w:val="0"/>
    </w:pPr>
    <w:rPr>
      <w:rFonts w:cs="Arial"/>
      <w:b/>
      <w:bCs/>
      <w:kern w:val="32"/>
      <w:szCs w:val="28"/>
    </w:rPr>
  </w:style>
  <w:style w:type="paragraph" w:styleId="Ttulo2">
    <w:name w:val="heading 2"/>
    <w:basedOn w:val="Normal"/>
    <w:next w:val="Normal"/>
    <w:link w:val="Ttulo2Car"/>
    <w:qFormat/>
    <w:rsid w:val="00AD5EDB"/>
    <w:pPr>
      <w:keepNext/>
      <w:numPr>
        <w:ilvl w:val="1"/>
        <w:numId w:val="11"/>
      </w:numPr>
      <w:spacing w:before="280" w:after="140"/>
      <w:jc w:val="left"/>
      <w:outlineLvl w:val="1"/>
    </w:pPr>
    <w:rPr>
      <w:rFonts w:cs="Arial"/>
      <w:b/>
      <w:bCs/>
      <w:iCs/>
      <w:szCs w:val="28"/>
    </w:rPr>
  </w:style>
  <w:style w:type="paragraph" w:styleId="Ttulo3">
    <w:name w:val="heading 3"/>
    <w:basedOn w:val="Normal"/>
    <w:next w:val="Normal"/>
    <w:link w:val="Ttulo3Car"/>
    <w:qFormat/>
    <w:rsid w:val="00AD5EDB"/>
    <w:pPr>
      <w:keepNext/>
      <w:numPr>
        <w:ilvl w:val="2"/>
        <w:numId w:val="11"/>
      </w:numPr>
      <w:spacing w:before="280" w:after="140"/>
      <w:jc w:val="left"/>
      <w:outlineLvl w:val="2"/>
    </w:pPr>
    <w:rPr>
      <w:rFonts w:cs="Arial"/>
      <w:bCs/>
      <w:i/>
      <w:szCs w:val="28"/>
    </w:rPr>
  </w:style>
  <w:style w:type="paragraph" w:styleId="Ttulo4">
    <w:name w:val="heading 4"/>
    <w:basedOn w:val="Normal"/>
    <w:next w:val="Normal"/>
    <w:link w:val="Ttulo4Car"/>
    <w:qFormat/>
    <w:rsid w:val="00AD5EDB"/>
    <w:pPr>
      <w:keepNext/>
      <w:keepLines/>
      <w:numPr>
        <w:ilvl w:val="3"/>
        <w:numId w:val="11"/>
      </w:numPr>
      <w:spacing w:before="280" w:after="140"/>
      <w:jc w:val="left"/>
      <w:outlineLvl w:val="3"/>
    </w:pPr>
    <w:rPr>
      <w:bCs/>
      <w:szCs w:val="28"/>
    </w:rPr>
  </w:style>
  <w:style w:type="paragraph" w:styleId="Ttulo5">
    <w:name w:val="heading 5"/>
    <w:basedOn w:val="Normal"/>
    <w:next w:val="Normal"/>
    <w:link w:val="Ttulo5Car"/>
    <w:qFormat/>
    <w:rsid w:val="00AD5EDB"/>
    <w:pPr>
      <w:keepNext/>
      <w:keepLines/>
      <w:numPr>
        <w:ilvl w:val="4"/>
        <w:numId w:val="11"/>
      </w:numPr>
      <w:spacing w:before="240" w:after="120"/>
      <w:jc w:val="left"/>
      <w:outlineLvl w:val="4"/>
    </w:pPr>
    <w:rPr>
      <w:bCs/>
      <w:i/>
      <w:iCs/>
      <w:szCs w:val="26"/>
    </w:rPr>
  </w:style>
  <w:style w:type="paragraph" w:styleId="Ttulo6">
    <w:name w:val="heading 6"/>
    <w:basedOn w:val="Normal"/>
    <w:next w:val="Normal"/>
    <w:link w:val="Ttulo6Car"/>
    <w:qFormat/>
    <w:rsid w:val="00AD5EDB"/>
    <w:pPr>
      <w:keepNext/>
      <w:keepLines/>
      <w:spacing w:before="240" w:after="120"/>
      <w:ind w:firstLine="0"/>
      <w:jc w:val="left"/>
      <w:outlineLvl w:val="5"/>
    </w:pPr>
    <w:rPr>
      <w:szCs w:val="28"/>
    </w:rPr>
  </w:style>
  <w:style w:type="paragraph" w:styleId="Ttulo7">
    <w:name w:val="heading 7"/>
    <w:basedOn w:val="Normal"/>
    <w:next w:val="Normal"/>
    <w:link w:val="Ttulo7Car"/>
    <w:qFormat/>
    <w:rsid w:val="00AD5EDB"/>
    <w:pPr>
      <w:keepNext/>
      <w:keepLines/>
      <w:spacing w:before="240" w:after="120"/>
      <w:ind w:firstLine="0"/>
      <w:jc w:val="left"/>
      <w:outlineLvl w:val="6"/>
    </w:pPr>
    <w:rPr>
      <w:szCs w:val="28"/>
    </w:rPr>
  </w:style>
  <w:style w:type="paragraph" w:styleId="Ttulo8">
    <w:name w:val="heading 8"/>
    <w:basedOn w:val="Normal"/>
    <w:next w:val="Normal"/>
    <w:link w:val="Ttulo8Car"/>
    <w:qFormat/>
    <w:rsid w:val="00AD5EDB"/>
    <w:pPr>
      <w:keepNext/>
      <w:keepLines/>
      <w:spacing w:before="240" w:after="120"/>
      <w:ind w:firstLine="0"/>
      <w:jc w:val="left"/>
      <w:outlineLvl w:val="7"/>
    </w:pPr>
    <w:rPr>
      <w:iCs/>
    </w:rPr>
  </w:style>
  <w:style w:type="paragraph" w:styleId="Ttulo9">
    <w:name w:val="heading 9"/>
    <w:basedOn w:val="Normal"/>
    <w:next w:val="Normal"/>
    <w:link w:val="Ttulo9Car"/>
    <w:qFormat/>
    <w:rsid w:val="00AD5EDB"/>
    <w:pPr>
      <w:keepNext/>
      <w:keepLines/>
      <w:spacing w:before="240" w:after="120"/>
      <w:ind w:firstLine="0"/>
      <w:jc w:val="left"/>
      <w:outlineLvl w:val="8"/>
    </w:pPr>
    <w:rPr>
      <w:rFonts w:cs="Arial"/>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D5EDB"/>
    <w:rPr>
      <w:rFonts w:ascii="Times New Roman" w:eastAsia="Times New Roman" w:hAnsi="Times New Roman" w:cs="Arial"/>
      <w:b/>
      <w:bCs/>
      <w:iCs/>
      <w:sz w:val="28"/>
      <w:szCs w:val="28"/>
      <w:lang w:eastAsia="es-ES"/>
    </w:rPr>
  </w:style>
  <w:style w:type="character" w:customStyle="1" w:styleId="Ttulo3Car">
    <w:name w:val="Título 3 Car"/>
    <w:basedOn w:val="Fuentedeprrafopredeter"/>
    <w:link w:val="Ttulo3"/>
    <w:rsid w:val="00AD5EDB"/>
    <w:rPr>
      <w:rFonts w:ascii="Times New Roman" w:eastAsia="Times New Roman" w:hAnsi="Times New Roman" w:cs="Arial"/>
      <w:bCs/>
      <w:i/>
      <w:sz w:val="28"/>
      <w:szCs w:val="28"/>
      <w:lang w:eastAsia="es-ES"/>
    </w:rPr>
  </w:style>
  <w:style w:type="character" w:customStyle="1" w:styleId="Ttulo4Car">
    <w:name w:val="Título 4 Car"/>
    <w:basedOn w:val="Fuentedeprrafopredeter"/>
    <w:link w:val="Ttulo4"/>
    <w:rsid w:val="00AD5EDB"/>
    <w:rPr>
      <w:rFonts w:ascii="Times New Roman" w:eastAsia="Times New Roman" w:hAnsi="Times New Roman" w:cs="Times New Roman"/>
      <w:bCs/>
      <w:sz w:val="28"/>
      <w:szCs w:val="28"/>
      <w:lang w:eastAsia="es-ES"/>
    </w:rPr>
  </w:style>
  <w:style w:type="character" w:customStyle="1" w:styleId="Ttulo5Car">
    <w:name w:val="Título 5 Car"/>
    <w:basedOn w:val="Fuentedeprrafopredeter"/>
    <w:link w:val="Ttulo5"/>
    <w:rsid w:val="00AD5EDB"/>
    <w:rPr>
      <w:rFonts w:ascii="Times New Roman" w:eastAsia="Times New Roman" w:hAnsi="Times New Roman" w:cs="Times New Roman"/>
      <w:bCs/>
      <w:i/>
      <w:iCs/>
      <w:sz w:val="28"/>
      <w:szCs w:val="26"/>
      <w:lang w:eastAsia="es-ES"/>
    </w:rPr>
  </w:style>
  <w:style w:type="character" w:customStyle="1" w:styleId="Ttulo9Car">
    <w:name w:val="Título 9 Car"/>
    <w:basedOn w:val="Fuentedeprrafopredeter"/>
    <w:link w:val="Ttulo9"/>
    <w:rsid w:val="00AD5EDB"/>
    <w:rPr>
      <w:rFonts w:ascii="Times New Roman" w:eastAsia="Times New Roman" w:hAnsi="Times New Roman" w:cs="Arial"/>
      <w:sz w:val="28"/>
      <w:szCs w:val="28"/>
      <w:lang w:eastAsia="es-ES"/>
    </w:rPr>
  </w:style>
  <w:style w:type="character" w:styleId="Refdenotaalpie">
    <w:name w:val="footnote reference"/>
    <w:basedOn w:val="Fuentedeprrafopredeter"/>
    <w:semiHidden/>
    <w:rsid w:val="00AD5EDB"/>
    <w:rPr>
      <w:rFonts w:ascii="Times New Roman" w:hAnsi="Times New Roman"/>
      <w:sz w:val="28"/>
      <w:vertAlign w:val="superscript"/>
    </w:rPr>
  </w:style>
  <w:style w:type="paragraph" w:styleId="Textonotapie">
    <w:name w:val="footnote text"/>
    <w:basedOn w:val="Normal"/>
    <w:link w:val="TextonotapieCar"/>
    <w:semiHidden/>
    <w:rsid w:val="00AD5EDB"/>
    <w:rPr>
      <w:sz w:val="24"/>
      <w:szCs w:val="20"/>
    </w:rPr>
  </w:style>
  <w:style w:type="character" w:customStyle="1" w:styleId="TextonotapieCar">
    <w:name w:val="Texto nota pie Car"/>
    <w:basedOn w:val="Fuentedeprrafopredeter"/>
    <w:link w:val="Textonotapie"/>
    <w:semiHidden/>
    <w:rsid w:val="00AD5EDB"/>
    <w:rPr>
      <w:rFonts w:ascii="Times New Roman" w:eastAsia="Times New Roman" w:hAnsi="Times New Roman" w:cs="Times New Roman"/>
      <w:sz w:val="24"/>
      <w:szCs w:val="20"/>
      <w:lang w:eastAsia="es-ES"/>
    </w:rPr>
  </w:style>
  <w:style w:type="paragraph" w:customStyle="1" w:styleId="Ttulo0">
    <w:name w:val="Título 0"/>
    <w:aliases w:val="Introducción..."/>
    <w:basedOn w:val="Ttulo1"/>
    <w:rsid w:val="00AD5EDB"/>
    <w:pPr>
      <w:spacing w:before="2268"/>
    </w:pPr>
    <w:rPr>
      <w:b w:val="0"/>
      <w:caps/>
      <w:sz w:val="36"/>
    </w:rPr>
  </w:style>
  <w:style w:type="paragraph" w:customStyle="1" w:styleId="Ttulo1previo">
    <w:name w:val="Título 1 previo"/>
    <w:basedOn w:val="Ttulo1"/>
    <w:next w:val="Ttulo1"/>
    <w:rsid w:val="00AD5EDB"/>
    <w:pPr>
      <w:numPr>
        <w:numId w:val="11"/>
      </w:numPr>
      <w:spacing w:before="2268" w:after="560"/>
    </w:pPr>
    <w:rPr>
      <w:b w:val="0"/>
      <w:caps/>
    </w:rPr>
  </w:style>
  <w:style w:type="character" w:customStyle="1" w:styleId="Apretadito1">
    <w:name w:val="Apretadito 1"/>
    <w:basedOn w:val="Fuentedeprrafopredeter"/>
    <w:rsid w:val="00AD5EDB"/>
    <w:rPr>
      <w:spacing w:val="-4"/>
    </w:rPr>
  </w:style>
  <w:style w:type="character" w:customStyle="1" w:styleId="Ttulo1Car">
    <w:name w:val="Título 1 Car"/>
    <w:basedOn w:val="Fuentedeprrafopredeter"/>
    <w:link w:val="Ttulo1"/>
    <w:rsid w:val="00AD5EDB"/>
    <w:rPr>
      <w:rFonts w:ascii="Times New Roman" w:eastAsia="Times New Roman" w:hAnsi="Times New Roman" w:cs="Arial"/>
      <w:b/>
      <w:bCs/>
      <w:kern w:val="32"/>
      <w:sz w:val="28"/>
      <w:szCs w:val="28"/>
      <w:lang w:eastAsia="es-ES"/>
    </w:rPr>
  </w:style>
  <w:style w:type="paragraph" w:styleId="Sangradetextonormal">
    <w:name w:val="Body Text Indent"/>
    <w:basedOn w:val="Normal"/>
    <w:link w:val="SangradetextonormalCar"/>
    <w:rsid w:val="00AD5EDB"/>
    <w:rPr>
      <w:szCs w:val="28"/>
    </w:rPr>
  </w:style>
  <w:style w:type="character" w:customStyle="1" w:styleId="SangradetextonormalCar">
    <w:name w:val="Sangría de texto normal Car"/>
    <w:basedOn w:val="Fuentedeprrafopredeter"/>
    <w:link w:val="Sangradetextonormal"/>
    <w:rsid w:val="00AD5EDB"/>
    <w:rPr>
      <w:rFonts w:ascii="Times New Roman" w:eastAsia="Times New Roman" w:hAnsi="Times New Roman" w:cs="Times New Roman"/>
      <w:sz w:val="28"/>
      <w:szCs w:val="28"/>
      <w:lang w:eastAsia="es-ES"/>
    </w:rPr>
  </w:style>
  <w:style w:type="paragraph" w:customStyle="1" w:styleId="Cita4lneas">
    <w:name w:val="Cita +4 líneas"/>
    <w:basedOn w:val="Normal"/>
    <w:rsid w:val="00AD5EDB"/>
    <w:pPr>
      <w:spacing w:before="140" w:after="140"/>
      <w:ind w:left="284" w:firstLine="0"/>
    </w:pPr>
    <w:rPr>
      <w:sz w:val="26"/>
    </w:rPr>
  </w:style>
  <w:style w:type="character" w:customStyle="1" w:styleId="Apretadito2">
    <w:name w:val="Apretadito 2"/>
    <w:basedOn w:val="Fuentedeprrafopredeter"/>
    <w:rsid w:val="00AD5EDB"/>
    <w:rPr>
      <w:spacing w:val="-4"/>
      <w:w w:val="98"/>
    </w:rPr>
  </w:style>
  <w:style w:type="paragraph" w:styleId="Textocomentario">
    <w:name w:val="annotation text"/>
    <w:basedOn w:val="Normal"/>
    <w:link w:val="TextocomentarioCar"/>
    <w:rsid w:val="00AD5EDB"/>
    <w:rPr>
      <w:sz w:val="24"/>
    </w:rPr>
  </w:style>
  <w:style w:type="character" w:customStyle="1" w:styleId="TextocomentarioCar">
    <w:name w:val="Texto comentario Car"/>
    <w:basedOn w:val="Fuentedeprrafopredeter"/>
    <w:link w:val="Textocomentario"/>
    <w:rsid w:val="00AD5EDB"/>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rsid w:val="00AD5EDB"/>
    <w:rPr>
      <w:b/>
      <w:bCs/>
      <w:sz w:val="20"/>
      <w:szCs w:val="20"/>
    </w:rPr>
  </w:style>
  <w:style w:type="character" w:customStyle="1" w:styleId="AsuntodelcomentarioCar">
    <w:name w:val="Asunto del comentario Car"/>
    <w:basedOn w:val="TextocomentarioCar"/>
    <w:link w:val="Asuntodelcomentario"/>
    <w:rsid w:val="00AD5EDB"/>
    <w:rPr>
      <w:rFonts w:ascii="Times New Roman" w:eastAsia="Times New Roman" w:hAnsi="Times New Roman" w:cs="Times New Roman"/>
      <w:b/>
      <w:bCs/>
      <w:sz w:val="20"/>
      <w:szCs w:val="20"/>
      <w:lang w:eastAsia="es-ES"/>
    </w:rPr>
  </w:style>
  <w:style w:type="paragraph" w:styleId="Cierre">
    <w:name w:val="Closing"/>
    <w:basedOn w:val="Normal"/>
    <w:link w:val="CierreCar"/>
    <w:rsid w:val="00AD5EDB"/>
    <w:pPr>
      <w:ind w:left="4252"/>
    </w:pPr>
  </w:style>
  <w:style w:type="character" w:customStyle="1" w:styleId="CierreCar">
    <w:name w:val="Cierre Car"/>
    <w:basedOn w:val="Fuentedeprrafopredeter"/>
    <w:link w:val="Cierre"/>
    <w:rsid w:val="00AD5EDB"/>
    <w:rPr>
      <w:rFonts w:ascii="Times New Roman" w:eastAsia="Times New Roman" w:hAnsi="Times New Roman" w:cs="Times New Roman"/>
      <w:sz w:val="28"/>
      <w:szCs w:val="24"/>
      <w:lang w:eastAsia="es-ES"/>
    </w:rPr>
  </w:style>
  <w:style w:type="paragraph" w:styleId="Encabezado">
    <w:name w:val="header"/>
    <w:basedOn w:val="Normal"/>
    <w:link w:val="EncabezadoCar"/>
    <w:rsid w:val="00AD5EDB"/>
    <w:pPr>
      <w:tabs>
        <w:tab w:val="center" w:pos="4252"/>
        <w:tab w:val="right" w:pos="8504"/>
      </w:tabs>
      <w:ind w:firstLine="0"/>
      <w:jc w:val="center"/>
    </w:pPr>
    <w:rPr>
      <w:caps/>
      <w:sz w:val="24"/>
    </w:rPr>
  </w:style>
  <w:style w:type="character" w:customStyle="1" w:styleId="EncabezadoCar">
    <w:name w:val="Encabezado Car"/>
    <w:basedOn w:val="Fuentedeprrafopredeter"/>
    <w:link w:val="Encabezado"/>
    <w:rsid w:val="00AD5EDB"/>
    <w:rPr>
      <w:rFonts w:ascii="Times New Roman" w:eastAsia="Times New Roman" w:hAnsi="Times New Roman" w:cs="Times New Roman"/>
      <w:caps/>
      <w:sz w:val="24"/>
      <w:szCs w:val="24"/>
      <w:lang w:eastAsia="es-ES"/>
    </w:rPr>
  </w:style>
  <w:style w:type="character" w:styleId="Hipervnculo">
    <w:name w:val="Hyperlink"/>
    <w:basedOn w:val="Fuentedeprrafopredeter"/>
    <w:rsid w:val="00AD5EDB"/>
    <w:rPr>
      <w:color w:val="0000FF"/>
      <w:u w:val="single"/>
    </w:rPr>
  </w:style>
  <w:style w:type="character" w:styleId="Hipervnculovisitado">
    <w:name w:val="FollowedHyperlink"/>
    <w:basedOn w:val="Fuentedeprrafopredeter"/>
    <w:rsid w:val="00AD5EDB"/>
    <w:rPr>
      <w:color w:val="800080"/>
      <w:u w:val="single"/>
    </w:rPr>
  </w:style>
  <w:style w:type="paragraph" w:styleId="ndice1">
    <w:name w:val="index 1"/>
    <w:basedOn w:val="Normal"/>
    <w:next w:val="Normal"/>
    <w:autoRedefine/>
    <w:semiHidden/>
    <w:rsid w:val="00AD5EDB"/>
    <w:pPr>
      <w:ind w:left="280" w:hanging="280"/>
    </w:pPr>
  </w:style>
  <w:style w:type="paragraph" w:styleId="Listaconvietas">
    <w:name w:val="List Bullet"/>
    <w:basedOn w:val="Normal"/>
    <w:autoRedefine/>
    <w:rsid w:val="00AD5EDB"/>
    <w:pPr>
      <w:tabs>
        <w:tab w:val="num" w:pos="360"/>
      </w:tabs>
      <w:ind w:left="360" w:hanging="360"/>
    </w:pPr>
  </w:style>
  <w:style w:type="paragraph" w:styleId="Mapadeldocumento">
    <w:name w:val="Document Map"/>
    <w:basedOn w:val="Normal"/>
    <w:link w:val="MapadeldocumentoCar"/>
    <w:semiHidden/>
    <w:rsid w:val="00AD5EDB"/>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AD5EDB"/>
    <w:rPr>
      <w:rFonts w:ascii="Tahoma" w:eastAsia="Times New Roman" w:hAnsi="Tahoma" w:cs="Tahoma"/>
      <w:sz w:val="28"/>
      <w:szCs w:val="24"/>
      <w:shd w:val="clear" w:color="auto" w:fill="000080"/>
      <w:lang w:eastAsia="es-ES"/>
    </w:rPr>
  </w:style>
  <w:style w:type="paragraph" w:customStyle="1" w:styleId="Normal-Bibliografa">
    <w:name w:val="Normal-Bibliografía"/>
    <w:basedOn w:val="Normal"/>
    <w:rsid w:val="00AD5EDB"/>
    <w:pPr>
      <w:spacing w:after="60"/>
      <w:ind w:left="1134" w:hanging="1134"/>
    </w:pPr>
    <w:rPr>
      <w:sz w:val="26"/>
    </w:rPr>
  </w:style>
  <w:style w:type="paragraph" w:customStyle="1" w:styleId="Normal-DespusConclusiones">
    <w:name w:val="Normal-Después Conclusiones"/>
    <w:basedOn w:val="Normal"/>
    <w:rsid w:val="00AD5EDB"/>
    <w:rPr>
      <w:sz w:val="26"/>
    </w:rPr>
  </w:style>
  <w:style w:type="character" w:styleId="Nmerodepgina">
    <w:name w:val="page number"/>
    <w:basedOn w:val="Fuentedeprrafopredeter"/>
    <w:rsid w:val="00AD5EDB"/>
    <w:rPr>
      <w:rFonts w:ascii="Times New Roman" w:hAnsi="Times New Roman"/>
      <w:sz w:val="28"/>
    </w:rPr>
  </w:style>
  <w:style w:type="paragraph" w:styleId="Piedepgina">
    <w:name w:val="footer"/>
    <w:basedOn w:val="Normal"/>
    <w:link w:val="PiedepginaCar"/>
    <w:rsid w:val="00AD5EDB"/>
    <w:pPr>
      <w:tabs>
        <w:tab w:val="center" w:pos="4419"/>
        <w:tab w:val="right" w:pos="8838"/>
      </w:tabs>
    </w:pPr>
  </w:style>
  <w:style w:type="character" w:customStyle="1" w:styleId="PiedepginaCar">
    <w:name w:val="Pie de página Car"/>
    <w:basedOn w:val="Fuentedeprrafopredeter"/>
    <w:link w:val="Piedepgina"/>
    <w:rsid w:val="00AD5EDB"/>
    <w:rPr>
      <w:rFonts w:ascii="Times New Roman" w:eastAsia="Times New Roman" w:hAnsi="Times New Roman" w:cs="Times New Roman"/>
      <w:sz w:val="28"/>
      <w:szCs w:val="24"/>
      <w:lang w:eastAsia="es-ES"/>
    </w:rPr>
  </w:style>
  <w:style w:type="paragraph" w:styleId="TDC1">
    <w:name w:val="toc 1"/>
    <w:basedOn w:val="Normal"/>
    <w:next w:val="Normal"/>
    <w:autoRedefine/>
    <w:uiPriority w:val="39"/>
    <w:rsid w:val="00AD5EDB"/>
    <w:pPr>
      <w:keepNext/>
      <w:keepLines/>
      <w:numPr>
        <w:numId w:val="5"/>
      </w:numPr>
      <w:tabs>
        <w:tab w:val="right" w:leader="dot" w:pos="8494"/>
      </w:tabs>
      <w:spacing w:before="240"/>
      <w:ind w:right="567"/>
      <w:outlineLvl w:val="0"/>
    </w:pPr>
    <w:rPr>
      <w:i/>
      <w:sz w:val="26"/>
      <w:szCs w:val="26"/>
    </w:rPr>
  </w:style>
  <w:style w:type="paragraph" w:styleId="TDC2">
    <w:name w:val="toc 2"/>
    <w:basedOn w:val="Normal"/>
    <w:next w:val="Normal"/>
    <w:autoRedefine/>
    <w:uiPriority w:val="39"/>
    <w:rsid w:val="00AD5EDB"/>
    <w:pPr>
      <w:tabs>
        <w:tab w:val="right" w:leader="dot" w:pos="8494"/>
      </w:tabs>
      <w:ind w:left="720" w:right="567" w:hanging="436"/>
      <w:outlineLvl w:val="1"/>
    </w:pPr>
    <w:rPr>
      <w:sz w:val="26"/>
    </w:rPr>
  </w:style>
  <w:style w:type="paragraph" w:styleId="TDC3">
    <w:name w:val="toc 3"/>
    <w:basedOn w:val="Normal"/>
    <w:next w:val="Normal"/>
    <w:uiPriority w:val="39"/>
    <w:rsid w:val="00AD5EDB"/>
    <w:pPr>
      <w:tabs>
        <w:tab w:val="right" w:leader="dot" w:pos="8494"/>
      </w:tabs>
      <w:ind w:left="1248" w:right="567" w:hanging="397"/>
      <w:outlineLvl w:val="2"/>
    </w:pPr>
    <w:rPr>
      <w:sz w:val="26"/>
    </w:rPr>
  </w:style>
  <w:style w:type="paragraph" w:styleId="TDC4">
    <w:name w:val="toc 4"/>
    <w:basedOn w:val="Normal"/>
    <w:next w:val="Normal"/>
    <w:autoRedefine/>
    <w:semiHidden/>
    <w:rsid w:val="00AD5EDB"/>
    <w:pPr>
      <w:ind w:left="851" w:firstLine="0"/>
      <w:outlineLvl w:val="3"/>
    </w:pPr>
    <w:rPr>
      <w:sz w:val="26"/>
    </w:rPr>
  </w:style>
  <w:style w:type="paragraph" w:styleId="TDC5">
    <w:name w:val="toc 5"/>
    <w:basedOn w:val="Normal"/>
    <w:next w:val="Normal"/>
    <w:autoRedefine/>
    <w:uiPriority w:val="39"/>
    <w:rsid w:val="00AD5EDB"/>
    <w:pPr>
      <w:tabs>
        <w:tab w:val="right" w:leader="dot" w:pos="8494"/>
      </w:tabs>
      <w:spacing w:before="180" w:after="120"/>
      <w:ind w:firstLine="0"/>
      <w:jc w:val="center"/>
    </w:pPr>
    <w:rPr>
      <w:smallCaps/>
      <w:sz w:val="26"/>
      <w:szCs w:val="26"/>
    </w:rPr>
  </w:style>
  <w:style w:type="paragraph" w:styleId="TDC6">
    <w:name w:val="toc 6"/>
    <w:basedOn w:val="Normal"/>
    <w:next w:val="Normal"/>
    <w:autoRedefine/>
    <w:uiPriority w:val="39"/>
    <w:rsid w:val="00AD5EDB"/>
    <w:pPr>
      <w:tabs>
        <w:tab w:val="right" w:leader="dot" w:pos="8494"/>
      </w:tabs>
      <w:spacing w:before="120"/>
      <w:ind w:left="431" w:right="404" w:hanging="431"/>
    </w:pPr>
    <w:rPr>
      <w:smallCaps/>
      <w:noProof/>
      <w:sz w:val="26"/>
      <w:szCs w:val="26"/>
    </w:rPr>
  </w:style>
  <w:style w:type="paragraph" w:styleId="TDC7">
    <w:name w:val="toc 7"/>
    <w:basedOn w:val="Normal"/>
    <w:next w:val="Normal"/>
    <w:autoRedefine/>
    <w:semiHidden/>
    <w:rsid w:val="00AD5EDB"/>
    <w:pPr>
      <w:spacing w:line="320" w:lineRule="exact"/>
      <w:ind w:left="1680"/>
      <w:jc w:val="left"/>
    </w:pPr>
    <w:rPr>
      <w:sz w:val="18"/>
      <w:szCs w:val="18"/>
    </w:rPr>
  </w:style>
  <w:style w:type="paragraph" w:styleId="TDC8">
    <w:name w:val="toc 8"/>
    <w:basedOn w:val="Normal"/>
    <w:next w:val="Normal"/>
    <w:autoRedefine/>
    <w:semiHidden/>
    <w:rsid w:val="00AD5EDB"/>
    <w:pPr>
      <w:spacing w:line="320" w:lineRule="exact"/>
      <w:ind w:left="1960"/>
      <w:jc w:val="left"/>
    </w:pPr>
    <w:rPr>
      <w:sz w:val="18"/>
      <w:szCs w:val="18"/>
    </w:rPr>
  </w:style>
  <w:style w:type="paragraph" w:styleId="TDC9">
    <w:name w:val="toc 9"/>
    <w:basedOn w:val="Normal"/>
    <w:next w:val="Normal"/>
    <w:autoRedefine/>
    <w:semiHidden/>
    <w:rsid w:val="00AD5EDB"/>
    <w:pPr>
      <w:ind w:left="2240"/>
    </w:pPr>
  </w:style>
  <w:style w:type="paragraph" w:styleId="Ttulo">
    <w:name w:val="Title"/>
    <w:basedOn w:val="Normal"/>
    <w:link w:val="TtuloCar"/>
    <w:qFormat/>
    <w:rsid w:val="00AD5EDB"/>
    <w:pPr>
      <w:spacing w:before="240" w:after="60" w:line="320" w:lineRule="exact"/>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AD5EDB"/>
    <w:rPr>
      <w:rFonts w:ascii="Arial" w:eastAsia="Times New Roman" w:hAnsi="Arial" w:cs="Arial"/>
      <w:b/>
      <w:bCs/>
      <w:kern w:val="28"/>
      <w:sz w:val="32"/>
      <w:szCs w:val="32"/>
      <w:lang w:eastAsia="es-ES"/>
    </w:rPr>
  </w:style>
  <w:style w:type="paragraph" w:customStyle="1" w:styleId="Titulo1previosinnumerar">
    <w:name w:val="Titulo 1 previo sin numerar"/>
    <w:basedOn w:val="Ttulo1"/>
    <w:rsid w:val="00AD5EDB"/>
    <w:pPr>
      <w:numPr>
        <w:numId w:val="7"/>
      </w:numPr>
    </w:pPr>
    <w:rPr>
      <w:b w:val="0"/>
      <w:caps/>
    </w:rPr>
  </w:style>
  <w:style w:type="character" w:customStyle="1" w:styleId="Ttulo6Car">
    <w:name w:val="Título 6 Car"/>
    <w:basedOn w:val="Fuentedeprrafopredeter"/>
    <w:link w:val="Ttulo6"/>
    <w:rsid w:val="00AD5EDB"/>
    <w:rPr>
      <w:rFonts w:ascii="Times New Roman" w:eastAsia="Times New Roman" w:hAnsi="Times New Roman" w:cs="Times New Roman"/>
      <w:sz w:val="28"/>
      <w:szCs w:val="28"/>
      <w:lang w:eastAsia="es-ES"/>
    </w:rPr>
  </w:style>
  <w:style w:type="character" w:customStyle="1" w:styleId="Ttulo7Car">
    <w:name w:val="Título 7 Car"/>
    <w:basedOn w:val="Fuentedeprrafopredeter"/>
    <w:link w:val="Ttulo7"/>
    <w:rsid w:val="00AD5EDB"/>
    <w:rPr>
      <w:rFonts w:ascii="Times New Roman" w:eastAsia="Times New Roman" w:hAnsi="Times New Roman" w:cs="Times New Roman"/>
      <w:sz w:val="28"/>
      <w:szCs w:val="28"/>
      <w:lang w:eastAsia="es-ES"/>
    </w:rPr>
  </w:style>
  <w:style w:type="character" w:customStyle="1" w:styleId="Ttulo8Car">
    <w:name w:val="Título 8 Car"/>
    <w:basedOn w:val="Fuentedeprrafopredeter"/>
    <w:link w:val="Ttulo8"/>
    <w:rsid w:val="00AD5EDB"/>
    <w:rPr>
      <w:rFonts w:ascii="Times New Roman" w:eastAsia="Times New Roman" w:hAnsi="Times New Roman" w:cs="Times New Roman"/>
      <w:iCs/>
      <w:sz w:val="28"/>
      <w:szCs w:val="24"/>
      <w:lang w:eastAsia="es-ES"/>
    </w:rPr>
  </w:style>
  <w:style w:type="paragraph" w:customStyle="1" w:styleId="TtuloParte">
    <w:name w:val="Título Parte"/>
    <w:basedOn w:val="Ttulo0"/>
    <w:next w:val="Normal"/>
    <w:rsid w:val="00AD5EDB"/>
    <w:pPr>
      <w:spacing w:before="4536" w:after="480"/>
    </w:pPr>
    <w:rPr>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2876</Words>
  <Characters>15821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spons</dc:creator>
  <cp:lastModifiedBy>Santiago Pons</cp:lastModifiedBy>
  <cp:revision>12</cp:revision>
  <dcterms:created xsi:type="dcterms:W3CDTF">2014-02-25T11:01:00Z</dcterms:created>
  <dcterms:modified xsi:type="dcterms:W3CDTF">2018-10-29T19:55:00Z</dcterms:modified>
</cp:coreProperties>
</file>